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C8229" w14:textId="77777777" w:rsidR="00740368" w:rsidRDefault="00F1574C" w:rsidP="00F1574C">
      <w:pPr>
        <w:jc w:val="center"/>
        <w:rPr>
          <w:rFonts w:ascii="Times New Roman" w:hAnsi="Times New Roman" w:cs="Times New Roman"/>
          <w:b/>
          <w:lang w:val="en-US"/>
        </w:rPr>
      </w:pPr>
      <w:r>
        <w:rPr>
          <w:rFonts w:ascii="Times New Roman" w:hAnsi="Times New Roman" w:cs="Times New Roman"/>
          <w:b/>
          <w:lang w:val="en-US"/>
        </w:rPr>
        <w:drawing>
          <wp:inline distT="0" distB="0" distL="0" distR="0" wp14:anchorId="3C9EA6AF" wp14:editId="2D6D6C9E">
            <wp:extent cx="1133475" cy="1152525"/>
            <wp:effectExtent l="0" t="0" r="0" b="0"/>
            <wp:docPr id="2" name="Εικόνα 1" descr="C:\Documents and Settings\katsaounos\Επιφάνεια εργασίας\logo NP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katsaounos\Επιφάνεια εργασίας\logo NPHO.PNG"/>
                    <pic:cNvPicPr>
                      <a:picLocks noChangeAspect="1" noChangeArrowheads="1"/>
                    </pic:cNvPicPr>
                  </pic:nvPicPr>
                  <pic:blipFill>
                    <a:blip r:embed="rId8" cstate="print"/>
                    <a:srcRect/>
                    <a:stretch>
                      <a:fillRect/>
                    </a:stretch>
                  </pic:blipFill>
                  <pic:spPr bwMode="auto">
                    <a:xfrm>
                      <a:off x="0" y="0"/>
                      <a:ext cx="1133475" cy="1152525"/>
                    </a:xfrm>
                    <a:prstGeom prst="rect">
                      <a:avLst/>
                    </a:prstGeom>
                    <a:noFill/>
                    <a:ln w="9525">
                      <a:noFill/>
                      <a:miter lim="800000"/>
                      <a:headEnd/>
                      <a:tailEnd/>
                    </a:ln>
                  </pic:spPr>
                </pic:pic>
              </a:graphicData>
            </a:graphic>
          </wp:inline>
        </w:drawing>
      </w:r>
    </w:p>
    <w:p w14:paraId="1EF2BB96" w14:textId="77777777" w:rsidR="00B465B5" w:rsidRDefault="00C82056" w:rsidP="00740368">
      <w:pPr>
        <w:spacing w:after="0"/>
        <w:jc w:val="center"/>
        <w:rPr>
          <w:b/>
          <w:sz w:val="28"/>
          <w:szCs w:val="28"/>
          <w:lang w:val="en-US"/>
        </w:rPr>
      </w:pPr>
      <w:r w:rsidRPr="00C82056">
        <w:rPr>
          <w:b/>
          <w:sz w:val="28"/>
          <w:szCs w:val="28"/>
          <w:lang w:val="en-US"/>
        </w:rPr>
        <w:t xml:space="preserve">Directorate of Epidemiological Surveillance </w:t>
      </w:r>
      <w:r w:rsidR="00B465B5">
        <w:rPr>
          <w:b/>
          <w:sz w:val="28"/>
          <w:szCs w:val="28"/>
          <w:lang w:val="en-US"/>
        </w:rPr>
        <w:t xml:space="preserve">&amp; </w:t>
      </w:r>
    </w:p>
    <w:p w14:paraId="4DEA49BE" w14:textId="5222DFDB" w:rsidR="00C82056" w:rsidRPr="00C82056" w:rsidRDefault="00B465B5" w:rsidP="00740368">
      <w:pPr>
        <w:spacing w:after="0"/>
        <w:jc w:val="center"/>
        <w:rPr>
          <w:b/>
          <w:sz w:val="28"/>
          <w:szCs w:val="28"/>
          <w:lang w:val="en-US"/>
        </w:rPr>
      </w:pPr>
      <w:r>
        <w:rPr>
          <w:b/>
          <w:sz w:val="28"/>
          <w:szCs w:val="28"/>
          <w:lang w:val="en-US"/>
        </w:rPr>
        <w:t>Prevention of Communicable Diseases</w:t>
      </w:r>
      <w:r w:rsidR="00C82056" w:rsidRPr="00C82056">
        <w:rPr>
          <w:b/>
          <w:sz w:val="28"/>
          <w:szCs w:val="28"/>
          <w:lang w:val="en-US"/>
        </w:rPr>
        <w:t> </w:t>
      </w:r>
    </w:p>
    <w:p w14:paraId="301BD8C3" w14:textId="77777777" w:rsidR="00740368" w:rsidRPr="009B5886" w:rsidRDefault="00C82056" w:rsidP="00740368">
      <w:pPr>
        <w:spacing w:after="0" w:line="240" w:lineRule="auto"/>
        <w:jc w:val="center"/>
        <w:rPr>
          <w:rFonts w:eastAsia="Times New Roman" w:cs="Arial"/>
          <w:b/>
          <w:sz w:val="24"/>
          <w:szCs w:val="24"/>
          <w:lang w:val="en-US" w:eastAsia="el-GR"/>
        </w:rPr>
      </w:pPr>
      <w:r>
        <w:rPr>
          <w:rFonts w:eastAsia="Times New Roman" w:cs="Arial"/>
          <w:b/>
          <w:sz w:val="24"/>
          <w:szCs w:val="24"/>
          <w:lang w:val="en-US" w:eastAsia="el-GR"/>
        </w:rPr>
        <w:t xml:space="preserve">Department of </w:t>
      </w:r>
      <w:r w:rsidR="00740368">
        <w:rPr>
          <w:rFonts w:eastAsia="Times New Roman" w:cs="Arial"/>
          <w:b/>
          <w:sz w:val="24"/>
          <w:szCs w:val="24"/>
          <w:lang w:val="en-US" w:eastAsia="el-GR"/>
        </w:rPr>
        <w:t>Vaccine</w:t>
      </w:r>
      <w:r w:rsidR="00740368" w:rsidRPr="009B5886">
        <w:rPr>
          <w:rFonts w:eastAsia="Times New Roman" w:cs="Arial"/>
          <w:b/>
          <w:sz w:val="24"/>
          <w:szCs w:val="24"/>
          <w:lang w:val="en-US" w:eastAsia="el-GR"/>
        </w:rPr>
        <w:t xml:space="preserve"> </w:t>
      </w:r>
      <w:r w:rsidR="00740368">
        <w:rPr>
          <w:rFonts w:eastAsia="Times New Roman" w:cs="Arial"/>
          <w:b/>
          <w:sz w:val="24"/>
          <w:szCs w:val="24"/>
          <w:lang w:val="en-US" w:eastAsia="el-GR"/>
        </w:rPr>
        <w:t>Preventable</w:t>
      </w:r>
      <w:r w:rsidR="00740368" w:rsidRPr="009B5886">
        <w:rPr>
          <w:rFonts w:eastAsia="Times New Roman" w:cs="Arial"/>
          <w:b/>
          <w:sz w:val="24"/>
          <w:szCs w:val="24"/>
          <w:lang w:val="en-US" w:eastAsia="el-GR"/>
        </w:rPr>
        <w:t xml:space="preserve"> </w:t>
      </w:r>
      <w:r w:rsidR="00CE3477">
        <w:rPr>
          <w:rFonts w:eastAsia="Times New Roman" w:cs="Arial"/>
          <w:b/>
          <w:sz w:val="24"/>
          <w:szCs w:val="24"/>
          <w:lang w:val="en-US" w:eastAsia="el-GR"/>
        </w:rPr>
        <w:t xml:space="preserve">and Congenital </w:t>
      </w:r>
      <w:r>
        <w:rPr>
          <w:rFonts w:eastAsia="Times New Roman" w:cs="Arial"/>
          <w:b/>
          <w:sz w:val="24"/>
          <w:szCs w:val="24"/>
          <w:lang w:val="en-US" w:eastAsia="el-GR"/>
        </w:rPr>
        <w:t xml:space="preserve">Diseases </w:t>
      </w:r>
    </w:p>
    <w:p w14:paraId="37578968" w14:textId="77777777" w:rsidR="00740368" w:rsidRDefault="00740368" w:rsidP="005C124D">
      <w:pPr>
        <w:rPr>
          <w:rFonts w:ascii="Times New Roman" w:hAnsi="Times New Roman" w:cs="Times New Roman"/>
          <w:b/>
          <w:lang w:val="en-US"/>
        </w:rPr>
      </w:pPr>
    </w:p>
    <w:p w14:paraId="343F2915" w14:textId="12C454F8" w:rsidR="00970FBB" w:rsidRPr="002A6FFB" w:rsidRDefault="00351211" w:rsidP="003F6FD1">
      <w:pPr>
        <w:jc w:val="center"/>
        <w:rPr>
          <w:rFonts w:cs="Times New Roman"/>
          <w:b/>
          <w:color w:val="0070C0"/>
          <w:sz w:val="26"/>
          <w:szCs w:val="26"/>
          <w:lang w:val="en-US"/>
        </w:rPr>
      </w:pPr>
      <w:r>
        <w:rPr>
          <w:rFonts w:cs="Times New Roman"/>
          <w:b/>
          <w:color w:val="0070C0"/>
          <w:sz w:val="26"/>
          <w:szCs w:val="26"/>
          <w:lang w:val="en-US"/>
        </w:rPr>
        <w:t xml:space="preserve">Invasive </w:t>
      </w:r>
      <w:r w:rsidR="00740368" w:rsidRPr="003F6FD1">
        <w:rPr>
          <w:rFonts w:cs="Times New Roman"/>
          <w:b/>
          <w:color w:val="0070C0"/>
          <w:sz w:val="26"/>
          <w:szCs w:val="26"/>
          <w:lang w:val="en-US"/>
        </w:rPr>
        <w:t xml:space="preserve">Meningococcal </w:t>
      </w:r>
      <w:r>
        <w:rPr>
          <w:rFonts w:cs="Times New Roman"/>
          <w:b/>
          <w:color w:val="0070C0"/>
          <w:sz w:val="26"/>
          <w:szCs w:val="26"/>
          <w:lang w:val="en-US"/>
        </w:rPr>
        <w:t>D</w:t>
      </w:r>
      <w:r w:rsidR="00740368" w:rsidRPr="003F6FD1">
        <w:rPr>
          <w:rFonts w:cs="Times New Roman"/>
          <w:b/>
          <w:color w:val="0070C0"/>
          <w:sz w:val="26"/>
          <w:szCs w:val="26"/>
          <w:lang w:val="en-US"/>
        </w:rPr>
        <w:t>isease. Epidemiological data in Greece</w:t>
      </w:r>
      <w:r w:rsidR="00E542DF" w:rsidRPr="003F6FD1">
        <w:rPr>
          <w:rFonts w:cs="Times New Roman"/>
          <w:b/>
          <w:color w:val="0070C0"/>
          <w:sz w:val="26"/>
          <w:szCs w:val="26"/>
          <w:lang w:val="en-US"/>
        </w:rPr>
        <w:t xml:space="preserve"> 2004-20</w:t>
      </w:r>
      <w:r w:rsidR="000D748D">
        <w:rPr>
          <w:rFonts w:cs="Times New Roman"/>
          <w:b/>
          <w:color w:val="0070C0"/>
          <w:sz w:val="26"/>
          <w:szCs w:val="26"/>
          <w:lang w:val="en-US"/>
        </w:rPr>
        <w:t>2</w:t>
      </w:r>
      <w:r w:rsidR="00A271E4">
        <w:rPr>
          <w:rFonts w:cs="Times New Roman"/>
          <w:b/>
          <w:color w:val="0070C0"/>
          <w:sz w:val="26"/>
          <w:szCs w:val="26"/>
          <w:lang w:val="en-US"/>
        </w:rPr>
        <w:t>5</w:t>
      </w:r>
    </w:p>
    <w:p w14:paraId="7617DD59" w14:textId="53C990A9" w:rsidR="003F6FD1" w:rsidRPr="00DF2E3C" w:rsidRDefault="003F6FD1" w:rsidP="003F6FD1">
      <w:pPr>
        <w:spacing w:after="0" w:line="240" w:lineRule="auto"/>
        <w:jc w:val="center"/>
        <w:rPr>
          <w:rFonts w:eastAsia="Times New Roman"/>
          <w:b/>
          <w:color w:val="0070C0"/>
          <w:lang w:val="en-US" w:eastAsia="el-GR"/>
        </w:rPr>
      </w:pPr>
      <w:r w:rsidRPr="00DF2E3C">
        <w:rPr>
          <w:rFonts w:eastAsia="Times New Roman"/>
          <w:b/>
          <w:color w:val="0070C0"/>
          <w:lang w:val="en-US" w:eastAsia="el-GR"/>
        </w:rPr>
        <w:t>MANDATORY NOTIFICATION SYSTEM</w:t>
      </w:r>
    </w:p>
    <w:p w14:paraId="0C938D8E" w14:textId="77777777" w:rsidR="00ED41EF" w:rsidRDefault="00ED41EF" w:rsidP="005C124D">
      <w:pPr>
        <w:rPr>
          <w:rFonts w:cs="Times New Roman"/>
          <w:b/>
          <w:color w:val="4F81BD"/>
          <w:sz w:val="24"/>
          <w:szCs w:val="24"/>
          <w:lang w:val="en-US"/>
        </w:rPr>
      </w:pPr>
    </w:p>
    <w:p w14:paraId="3C57B9CD" w14:textId="51EA044D" w:rsidR="00351211" w:rsidRDefault="00351211" w:rsidP="005C124D">
      <w:pPr>
        <w:rPr>
          <w:rFonts w:cs="Times New Roman"/>
          <w:b/>
          <w:color w:val="4F81BD"/>
          <w:sz w:val="24"/>
          <w:szCs w:val="24"/>
          <w:lang w:val="en-US"/>
        </w:rPr>
      </w:pPr>
      <w:r>
        <w:rPr>
          <w:rFonts w:cs="Times New Roman"/>
          <w:b/>
          <w:color w:val="4F81BD"/>
          <w:sz w:val="24"/>
          <w:szCs w:val="24"/>
          <w:lang w:val="en-US"/>
        </w:rPr>
        <w:t>Key Points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9EFF7"/>
        <w:tblLook w:val="0000" w:firstRow="0" w:lastRow="0" w:firstColumn="0" w:lastColumn="0" w:noHBand="0" w:noVBand="0"/>
      </w:tblPr>
      <w:tblGrid>
        <w:gridCol w:w="9923"/>
      </w:tblGrid>
      <w:tr w:rsidR="00351211" w:rsidRPr="00573668" w14:paraId="2C8A2140" w14:textId="77777777" w:rsidTr="00351211">
        <w:trPr>
          <w:trHeight w:val="2080"/>
        </w:trPr>
        <w:tc>
          <w:tcPr>
            <w:tcW w:w="9923" w:type="dxa"/>
            <w:shd w:val="clear" w:color="auto" w:fill="E9EFF7"/>
          </w:tcPr>
          <w:p w14:paraId="06D98589" w14:textId="08FECA41" w:rsidR="00351211" w:rsidRDefault="00351211" w:rsidP="00351211">
            <w:pPr>
              <w:numPr>
                <w:ilvl w:val="0"/>
                <w:numId w:val="6"/>
              </w:numPr>
              <w:tabs>
                <w:tab w:val="clear" w:pos="720"/>
              </w:tabs>
              <w:spacing w:before="120"/>
              <w:ind w:right="295"/>
              <w:jc w:val="both"/>
              <w:rPr>
                <w:lang w:val="en-US"/>
              </w:rPr>
            </w:pPr>
            <w:r w:rsidRPr="00351211">
              <w:rPr>
                <w:lang w:val="en-US"/>
              </w:rPr>
              <w:t xml:space="preserve">The </w:t>
            </w:r>
            <w:r>
              <w:rPr>
                <w:lang w:val="en-US"/>
              </w:rPr>
              <w:t>notification rate</w:t>
            </w:r>
            <w:r w:rsidRPr="00351211">
              <w:rPr>
                <w:lang w:val="en-US"/>
              </w:rPr>
              <w:t xml:space="preserve"> of invasive meningococcal disease declined markedly between 2013 and 2022, reaching its lowest levels during the COVID</w:t>
            </w:r>
            <w:r w:rsidRPr="00351211">
              <w:rPr>
                <w:rFonts w:ascii="Cambria Math" w:hAnsi="Cambria Math" w:cs="Cambria Math"/>
                <w:lang w:val="en-US"/>
              </w:rPr>
              <w:t>‑</w:t>
            </w:r>
            <w:r w:rsidRPr="00351211">
              <w:rPr>
                <w:lang w:val="en-US"/>
              </w:rPr>
              <w:t>19 pandemic. In the period 2023</w:t>
            </w:r>
            <w:r w:rsidRPr="00351211">
              <w:rPr>
                <w:rFonts w:ascii="Calibri" w:hAnsi="Calibri" w:cs="Calibri"/>
                <w:lang w:val="en-US"/>
              </w:rPr>
              <w:t>–</w:t>
            </w:r>
            <w:r w:rsidRPr="00351211">
              <w:rPr>
                <w:lang w:val="en-US"/>
              </w:rPr>
              <w:t>2025, incidence returned to the low pre</w:t>
            </w:r>
            <w:r w:rsidRPr="00351211">
              <w:rPr>
                <w:rFonts w:ascii="Cambria Math" w:hAnsi="Cambria Math" w:cs="Cambria Math"/>
                <w:lang w:val="en-US"/>
              </w:rPr>
              <w:t>‑</w:t>
            </w:r>
            <w:r w:rsidRPr="00351211">
              <w:rPr>
                <w:lang w:val="en-US"/>
              </w:rPr>
              <w:t xml:space="preserve">pandemic </w:t>
            </w:r>
            <w:r>
              <w:rPr>
                <w:lang w:val="en-US"/>
              </w:rPr>
              <w:t>levels</w:t>
            </w:r>
            <w:r w:rsidRPr="00351211">
              <w:rPr>
                <w:lang w:val="en-US"/>
              </w:rPr>
              <w:t>.</w:t>
            </w:r>
          </w:p>
          <w:p w14:paraId="15D9F619" w14:textId="4F817DE2" w:rsidR="00351211" w:rsidRDefault="00351211" w:rsidP="00351211">
            <w:pPr>
              <w:numPr>
                <w:ilvl w:val="0"/>
                <w:numId w:val="6"/>
              </w:numPr>
              <w:tabs>
                <w:tab w:val="clear" w:pos="720"/>
              </w:tabs>
              <w:spacing w:before="120"/>
              <w:ind w:right="295"/>
              <w:jc w:val="both"/>
              <w:rPr>
                <w:lang w:val="en-US"/>
              </w:rPr>
            </w:pPr>
            <w:r w:rsidRPr="00351211">
              <w:rPr>
                <w:lang w:val="en-US"/>
              </w:rPr>
              <w:t>The highest incidence was observed in children aged 0–4 years, with a mean annual reported rate of 3.94 cases per 100,000 population.</w:t>
            </w:r>
          </w:p>
          <w:p w14:paraId="00E12BEE" w14:textId="1DF6B9B6" w:rsidR="00351211" w:rsidRDefault="00351211" w:rsidP="00351211">
            <w:pPr>
              <w:numPr>
                <w:ilvl w:val="0"/>
                <w:numId w:val="6"/>
              </w:numPr>
              <w:tabs>
                <w:tab w:val="clear" w:pos="720"/>
              </w:tabs>
              <w:spacing w:before="120"/>
              <w:ind w:right="295"/>
              <w:jc w:val="both"/>
              <w:rPr>
                <w:lang w:val="en-US"/>
              </w:rPr>
            </w:pPr>
            <w:r w:rsidRPr="00351211">
              <w:rPr>
                <w:lang w:val="en-US"/>
              </w:rPr>
              <w:t xml:space="preserve">In Greece, </w:t>
            </w:r>
            <w:r>
              <w:rPr>
                <w:lang w:val="en-US"/>
              </w:rPr>
              <w:t>the majority of</w:t>
            </w:r>
            <w:r w:rsidRPr="00351211">
              <w:rPr>
                <w:lang w:val="en-US"/>
              </w:rPr>
              <w:t xml:space="preserve"> invasive meningococcal disease cases with identified serogroup (81.3%) were attributed to serogroup B.</w:t>
            </w:r>
          </w:p>
          <w:p w14:paraId="1A3CE0D6" w14:textId="074FE4EB" w:rsidR="00351211" w:rsidRPr="00351211" w:rsidRDefault="00351211" w:rsidP="00351211">
            <w:pPr>
              <w:numPr>
                <w:ilvl w:val="0"/>
                <w:numId w:val="6"/>
              </w:numPr>
              <w:tabs>
                <w:tab w:val="clear" w:pos="720"/>
              </w:tabs>
              <w:spacing w:before="120"/>
              <w:ind w:right="295"/>
              <w:jc w:val="both"/>
              <w:rPr>
                <w:lang w:val="en-US"/>
              </w:rPr>
            </w:pPr>
            <w:r w:rsidRPr="00351211">
              <w:rPr>
                <w:lang w:val="en-US"/>
              </w:rPr>
              <w:t>Sustained epidemiological surveillance and timely vaccination remain the most effective measures for controlling the disease.</w:t>
            </w:r>
          </w:p>
        </w:tc>
      </w:tr>
    </w:tbl>
    <w:p w14:paraId="196AC3A3" w14:textId="77777777" w:rsidR="00351211" w:rsidRPr="00573668" w:rsidRDefault="00351211" w:rsidP="005C124D">
      <w:pPr>
        <w:rPr>
          <w:rFonts w:cs="Times New Roman"/>
          <w:b/>
          <w:color w:val="4F81BD"/>
          <w:sz w:val="24"/>
          <w:szCs w:val="24"/>
          <w:lang w:val="en-US"/>
        </w:rPr>
      </w:pPr>
    </w:p>
    <w:p w14:paraId="13AA3B8F" w14:textId="77777777" w:rsidR="00E82460" w:rsidRPr="00740368" w:rsidRDefault="00E82460" w:rsidP="005C124D">
      <w:pPr>
        <w:rPr>
          <w:rFonts w:cs="Times New Roman"/>
          <w:b/>
          <w:color w:val="4F81BD"/>
          <w:sz w:val="24"/>
          <w:szCs w:val="24"/>
          <w:lang w:val="en-US"/>
        </w:rPr>
      </w:pPr>
      <w:r w:rsidRPr="00740368">
        <w:rPr>
          <w:rFonts w:cs="Times New Roman"/>
          <w:b/>
          <w:color w:val="4F81BD"/>
          <w:sz w:val="24"/>
          <w:szCs w:val="24"/>
          <w:lang w:val="en-US"/>
        </w:rPr>
        <w:t>EPIDEMIOLOGICAL SURVEILLANCE</w:t>
      </w:r>
      <w:r w:rsidR="00740368" w:rsidRPr="00740368">
        <w:rPr>
          <w:rFonts w:cs="Times New Roman"/>
          <w:b/>
          <w:color w:val="4F81BD"/>
          <w:sz w:val="24"/>
          <w:szCs w:val="24"/>
          <w:lang w:val="en-US"/>
        </w:rPr>
        <w:t xml:space="preserve"> OF MENINGITIS</w:t>
      </w:r>
    </w:p>
    <w:p w14:paraId="04BB8E8E" w14:textId="5C88647D" w:rsidR="00E82460" w:rsidRPr="002F4660" w:rsidRDefault="00E82460" w:rsidP="005E390D">
      <w:pPr>
        <w:jc w:val="both"/>
        <w:rPr>
          <w:rFonts w:cs="Times New Roman"/>
          <w:lang w:val="en-US"/>
        </w:rPr>
      </w:pPr>
      <w:r w:rsidRPr="002F4660">
        <w:rPr>
          <w:rFonts w:cs="Times New Roman"/>
          <w:lang w:val="en-US"/>
        </w:rPr>
        <w:t>In Greece</w:t>
      </w:r>
      <w:r w:rsidR="00F3731B" w:rsidRPr="002F4660">
        <w:rPr>
          <w:rFonts w:cs="Times New Roman"/>
          <w:lang w:val="en-US"/>
        </w:rPr>
        <w:t>,</w:t>
      </w:r>
      <w:r w:rsidRPr="002F4660">
        <w:rPr>
          <w:rFonts w:cs="Times New Roman"/>
          <w:lang w:val="en-US"/>
        </w:rPr>
        <w:t xml:space="preserve"> all meningitis cases are under </w:t>
      </w:r>
      <w:r w:rsidR="00F3731B" w:rsidRPr="002F4660">
        <w:rPr>
          <w:rFonts w:cs="Times New Roman"/>
          <w:lang w:val="en-US"/>
        </w:rPr>
        <w:t xml:space="preserve">epidemiological </w:t>
      </w:r>
      <w:r w:rsidRPr="002F4660">
        <w:rPr>
          <w:rFonts w:cs="Times New Roman"/>
          <w:lang w:val="en-US"/>
        </w:rPr>
        <w:t xml:space="preserve">surveillance, including </w:t>
      </w:r>
      <w:r w:rsidR="00EC3321" w:rsidRPr="002F4660">
        <w:rPr>
          <w:rFonts w:cs="Times New Roman"/>
          <w:lang w:val="en-US"/>
        </w:rPr>
        <w:t xml:space="preserve">invasive </w:t>
      </w:r>
      <w:r w:rsidRPr="002F4660">
        <w:rPr>
          <w:rFonts w:cs="Times New Roman"/>
          <w:lang w:val="en-US"/>
        </w:rPr>
        <w:t xml:space="preserve">meningococcal disease cases (which are the main </w:t>
      </w:r>
      <w:r w:rsidR="00F3731B" w:rsidRPr="002F4660">
        <w:rPr>
          <w:rFonts w:cs="Times New Roman"/>
          <w:lang w:val="en-US"/>
        </w:rPr>
        <w:t>aim</w:t>
      </w:r>
      <w:r w:rsidRPr="002F4660">
        <w:rPr>
          <w:rFonts w:cs="Times New Roman"/>
          <w:lang w:val="en-US"/>
        </w:rPr>
        <w:t xml:space="preserve"> of the surveillance) and other bacterial and aseptic meningitis cases. </w:t>
      </w:r>
    </w:p>
    <w:p w14:paraId="3C228CA4" w14:textId="77777777" w:rsidR="002F4660" w:rsidRDefault="00E82460" w:rsidP="002F4660">
      <w:pPr>
        <w:spacing w:after="120"/>
        <w:jc w:val="both"/>
        <w:rPr>
          <w:rFonts w:cs="Times New Roman"/>
          <w:lang w:val="en-US"/>
        </w:rPr>
      </w:pPr>
      <w:r w:rsidRPr="002F4660">
        <w:rPr>
          <w:rFonts w:cs="Times New Roman"/>
          <w:lang w:val="en-US"/>
        </w:rPr>
        <w:t xml:space="preserve">The </w:t>
      </w:r>
      <w:r w:rsidR="00CE3477" w:rsidRPr="002F4660">
        <w:rPr>
          <w:rFonts w:cs="Times New Roman"/>
          <w:lang w:val="en-US"/>
        </w:rPr>
        <w:t xml:space="preserve">Department of Vaccine Preventable and Congenital Diseases </w:t>
      </w:r>
      <w:r w:rsidRPr="002F4660">
        <w:rPr>
          <w:rFonts w:cs="Times New Roman"/>
          <w:lang w:val="en-US"/>
        </w:rPr>
        <w:t xml:space="preserve">of </w:t>
      </w:r>
      <w:r w:rsidR="00F3731B" w:rsidRPr="002F4660">
        <w:rPr>
          <w:rFonts w:cs="Times New Roman"/>
          <w:lang w:val="en-US"/>
        </w:rPr>
        <w:t xml:space="preserve">the </w:t>
      </w:r>
      <w:r w:rsidR="00F1574C" w:rsidRPr="002F4660">
        <w:rPr>
          <w:rFonts w:cs="Times New Roman"/>
          <w:lang w:val="en-US"/>
        </w:rPr>
        <w:t>National Public Health Organization</w:t>
      </w:r>
      <w:r w:rsidRPr="002F4660">
        <w:rPr>
          <w:rFonts w:cs="Times New Roman"/>
          <w:lang w:val="en-US"/>
        </w:rPr>
        <w:t xml:space="preserve"> (</w:t>
      </w:r>
      <w:r w:rsidR="00F1574C" w:rsidRPr="002F4660">
        <w:rPr>
          <w:rFonts w:cs="Times New Roman"/>
          <w:lang w:val="en-US"/>
        </w:rPr>
        <w:t>N.P.H.O</w:t>
      </w:r>
      <w:r w:rsidRPr="002F4660">
        <w:rPr>
          <w:rFonts w:cs="Times New Roman"/>
          <w:lang w:val="en-US"/>
        </w:rPr>
        <w:t>)</w:t>
      </w:r>
      <w:r w:rsidR="002D0619" w:rsidRPr="002F4660">
        <w:rPr>
          <w:rFonts w:cs="Times New Roman"/>
          <w:lang w:val="en-US"/>
        </w:rPr>
        <w:t xml:space="preserve"> collects data for all meningitis cases from all over the country through the</w:t>
      </w:r>
      <w:r w:rsidR="009959CA" w:rsidRPr="002F4660">
        <w:rPr>
          <w:rFonts w:cs="Times New Roman"/>
          <w:lang w:val="en-US"/>
        </w:rPr>
        <w:t xml:space="preserve"> mandatory notification system, </w:t>
      </w:r>
      <w:r w:rsidR="00F3731B" w:rsidRPr="002F4660">
        <w:rPr>
          <w:rFonts w:cs="Times New Roman"/>
          <w:lang w:val="en-US"/>
        </w:rPr>
        <w:t xml:space="preserve">by </w:t>
      </w:r>
      <w:r w:rsidR="009959CA" w:rsidRPr="002F4660">
        <w:rPr>
          <w:rFonts w:cs="Times New Roman"/>
          <w:lang w:val="en-US"/>
        </w:rPr>
        <w:t xml:space="preserve">Directorates of </w:t>
      </w:r>
      <w:r w:rsidR="00F3731B" w:rsidRPr="002F4660">
        <w:rPr>
          <w:rFonts w:cs="Times New Roman"/>
          <w:lang w:val="en-US"/>
        </w:rPr>
        <w:t xml:space="preserve">Public </w:t>
      </w:r>
      <w:r w:rsidR="009959CA" w:rsidRPr="002F4660">
        <w:rPr>
          <w:rFonts w:cs="Times New Roman"/>
          <w:lang w:val="en-US"/>
        </w:rPr>
        <w:t>Health</w:t>
      </w:r>
      <w:r w:rsidR="002D0619" w:rsidRPr="002F4660">
        <w:rPr>
          <w:rFonts w:cs="Times New Roman"/>
          <w:lang w:val="en-US"/>
        </w:rPr>
        <w:t xml:space="preserve"> and the </w:t>
      </w:r>
      <w:r w:rsidR="00F3731B" w:rsidRPr="002F4660">
        <w:rPr>
          <w:rFonts w:cs="Times New Roman"/>
          <w:lang w:val="en-US"/>
        </w:rPr>
        <w:t xml:space="preserve">National Reference Center for </w:t>
      </w:r>
      <w:r w:rsidR="006406F5" w:rsidRPr="002F4660">
        <w:rPr>
          <w:rFonts w:cs="Times New Roman"/>
          <w:lang w:val="en-US"/>
        </w:rPr>
        <w:t>M</w:t>
      </w:r>
      <w:r w:rsidR="00F3731B" w:rsidRPr="002F4660">
        <w:rPr>
          <w:rFonts w:cs="Times New Roman"/>
          <w:lang w:val="en-US"/>
        </w:rPr>
        <w:t xml:space="preserve">eningitis in </w:t>
      </w:r>
      <w:r w:rsidR="002D0619" w:rsidRPr="002F4660">
        <w:rPr>
          <w:rFonts w:cs="Times New Roman"/>
          <w:lang w:val="en-US"/>
        </w:rPr>
        <w:t>the School of Public Health</w:t>
      </w:r>
      <w:r w:rsidR="00DA55D1" w:rsidRPr="002F4660">
        <w:rPr>
          <w:rFonts w:cs="Times New Roman"/>
          <w:lang w:val="en-US"/>
        </w:rPr>
        <w:t>, University of West Attica</w:t>
      </w:r>
      <w:r w:rsidR="002D0619" w:rsidRPr="002F4660">
        <w:rPr>
          <w:rFonts w:cs="Times New Roman"/>
          <w:lang w:val="en-US"/>
        </w:rPr>
        <w:t xml:space="preserve">. </w:t>
      </w:r>
      <w:r w:rsidR="00E96FB2" w:rsidRPr="002F4660">
        <w:rPr>
          <w:rFonts w:cs="Times New Roman"/>
          <w:lang w:val="en-US"/>
        </w:rPr>
        <w:t>Additional info</w:t>
      </w:r>
      <w:r w:rsidR="002D0619" w:rsidRPr="002F4660">
        <w:rPr>
          <w:rFonts w:cs="Times New Roman"/>
          <w:lang w:val="en-US"/>
        </w:rPr>
        <w:t xml:space="preserve">rmation regarding the clinical </w:t>
      </w:r>
      <w:r w:rsidR="00E96FB2" w:rsidRPr="002F4660">
        <w:rPr>
          <w:rFonts w:cs="Times New Roman"/>
          <w:lang w:val="en-US"/>
        </w:rPr>
        <w:t xml:space="preserve">signs and the laboratory findings of each case is taken by communicating </w:t>
      </w:r>
      <w:r w:rsidR="002D0619" w:rsidRPr="002F4660">
        <w:rPr>
          <w:rFonts w:cs="Times New Roman"/>
          <w:lang w:val="en-US"/>
        </w:rPr>
        <w:t xml:space="preserve">with the hospital where each case is </w:t>
      </w:r>
      <w:r w:rsidR="00E96FB2" w:rsidRPr="002F4660">
        <w:rPr>
          <w:rFonts w:cs="Times New Roman"/>
          <w:lang w:val="en-US"/>
        </w:rPr>
        <w:t xml:space="preserve">hospitalized. In order to take all the necessary preventive measures (chemoprofylaxis when needed and/or immunization) to avoid disease transmission to all the individuals who were in close contact with the case, it is essential to assign the case </w:t>
      </w:r>
      <w:r w:rsidR="00852C69" w:rsidRPr="002F4660">
        <w:rPr>
          <w:rFonts w:cs="Times New Roman"/>
          <w:lang w:val="en-US"/>
        </w:rPr>
        <w:t>by the</w:t>
      </w:r>
      <w:r w:rsidR="00E96FB2" w:rsidRPr="002F4660">
        <w:rPr>
          <w:rFonts w:cs="Times New Roman"/>
          <w:lang w:val="en-US"/>
        </w:rPr>
        <w:t xml:space="preserve"> cause</w:t>
      </w:r>
      <w:r w:rsidR="005E390D" w:rsidRPr="002F4660">
        <w:rPr>
          <w:rFonts w:cs="Times New Roman"/>
          <w:lang w:val="en-US"/>
        </w:rPr>
        <w:t xml:space="preserve">. </w:t>
      </w:r>
    </w:p>
    <w:p w14:paraId="242C1431" w14:textId="14BD4591" w:rsidR="00E82460" w:rsidRPr="002F4660" w:rsidRDefault="009959CA" w:rsidP="005E390D">
      <w:pPr>
        <w:jc w:val="both"/>
        <w:rPr>
          <w:rFonts w:cs="Times New Roman"/>
          <w:lang w:val="en-US"/>
        </w:rPr>
      </w:pPr>
      <w:r w:rsidRPr="002F4660">
        <w:rPr>
          <w:rFonts w:cs="Times New Roman"/>
          <w:lang w:val="en-US"/>
        </w:rPr>
        <w:t>D</w:t>
      </w:r>
      <w:r w:rsidR="00852C69" w:rsidRPr="002F4660">
        <w:rPr>
          <w:rFonts w:cs="Times New Roman"/>
          <w:lang w:val="en-US"/>
        </w:rPr>
        <w:t>ata</w:t>
      </w:r>
      <w:r w:rsidRPr="002F4660">
        <w:rPr>
          <w:rFonts w:cs="Times New Roman"/>
          <w:lang w:val="en-US"/>
        </w:rPr>
        <w:t xml:space="preserve"> are </w:t>
      </w:r>
      <w:r w:rsidR="007961B4" w:rsidRPr="002F4660">
        <w:rPr>
          <w:rFonts w:cs="Times New Roman"/>
          <w:lang w:val="en-US"/>
        </w:rPr>
        <w:t>recorded and analyzed by week, month, year, prefecture, causative agent, classification, age and gender, in order to detect outbreaks.</w:t>
      </w:r>
    </w:p>
    <w:p w14:paraId="4AFC0A76" w14:textId="282ED94E" w:rsidR="00C57E96" w:rsidRPr="00740368" w:rsidRDefault="00EC3321" w:rsidP="005C124D">
      <w:pPr>
        <w:rPr>
          <w:rFonts w:cs="Times New Roman"/>
          <w:color w:val="4F81BD" w:themeColor="accent1"/>
          <w:sz w:val="24"/>
          <w:szCs w:val="24"/>
          <w:lang w:val="en-US"/>
        </w:rPr>
      </w:pPr>
      <w:r>
        <w:rPr>
          <w:rFonts w:cs="Times New Roman"/>
          <w:b/>
          <w:color w:val="4F81BD" w:themeColor="accent1"/>
          <w:sz w:val="24"/>
          <w:szCs w:val="24"/>
          <w:lang w:val="en-US"/>
        </w:rPr>
        <w:lastRenderedPageBreak/>
        <w:t xml:space="preserve">INVASIVE </w:t>
      </w:r>
      <w:r w:rsidR="00C57E96" w:rsidRPr="00740368">
        <w:rPr>
          <w:rFonts w:cs="Times New Roman"/>
          <w:b/>
          <w:color w:val="4F81BD" w:themeColor="accent1"/>
          <w:sz w:val="24"/>
          <w:szCs w:val="24"/>
          <w:lang w:val="en-US"/>
        </w:rPr>
        <w:t>MENINGOCOCCAL DISEASE</w:t>
      </w:r>
      <w:r w:rsidR="0038459E">
        <w:rPr>
          <w:rFonts w:cs="Times New Roman"/>
          <w:b/>
          <w:color w:val="4F81BD" w:themeColor="accent1"/>
          <w:sz w:val="24"/>
          <w:szCs w:val="24"/>
          <w:lang w:val="en-US"/>
        </w:rPr>
        <w:t xml:space="preserve"> (IMD)</w:t>
      </w:r>
    </w:p>
    <w:p w14:paraId="3ADAA92C" w14:textId="0F63EAD1" w:rsidR="00573668" w:rsidRPr="002F4660" w:rsidRDefault="00573668" w:rsidP="00573668">
      <w:pPr>
        <w:jc w:val="both"/>
        <w:rPr>
          <w:rFonts w:cstheme="minorHAnsi"/>
          <w:bCs/>
          <w:color w:val="000000" w:themeColor="text1"/>
          <w:lang w:val="en-US"/>
        </w:rPr>
      </w:pPr>
      <w:r w:rsidRPr="002F4660">
        <w:rPr>
          <w:rFonts w:cstheme="minorHAnsi"/>
          <w:bCs/>
          <w:color w:val="000000" w:themeColor="text1"/>
          <w:lang w:val="en-US"/>
        </w:rPr>
        <w:t>Invasive meningococcal disease (IMD) is an acute and severe bacterial infection caused by the Gram</w:t>
      </w:r>
      <w:r w:rsidRPr="002F4660">
        <w:rPr>
          <w:rFonts w:ascii="Cambria Math" w:hAnsi="Cambria Math" w:cs="Cambria Math"/>
          <w:bCs/>
          <w:color w:val="000000" w:themeColor="text1"/>
          <w:lang w:val="en-US"/>
        </w:rPr>
        <w:t>‑</w:t>
      </w:r>
      <w:r w:rsidRPr="002F4660">
        <w:rPr>
          <w:rFonts w:cstheme="minorHAnsi"/>
          <w:bCs/>
          <w:color w:val="000000" w:themeColor="text1"/>
          <w:lang w:val="en-US"/>
        </w:rPr>
        <w:t xml:space="preserve">negative diplococcus </w:t>
      </w:r>
      <w:r w:rsidRPr="002F4660">
        <w:rPr>
          <w:rFonts w:cstheme="minorHAnsi"/>
          <w:bCs/>
          <w:i/>
          <w:iCs/>
          <w:color w:val="000000" w:themeColor="text1"/>
          <w:lang w:val="en-US"/>
        </w:rPr>
        <w:t>Neisseria meningitidis</w:t>
      </w:r>
      <w:r w:rsidRPr="002F4660">
        <w:rPr>
          <w:rFonts w:cstheme="minorHAnsi"/>
          <w:bCs/>
          <w:color w:val="000000" w:themeColor="text1"/>
          <w:lang w:val="en-US"/>
        </w:rPr>
        <w:t>. The bacterium is frequently detected in the nasopharynx without causing illness (asymptomatic carriage), but it may occasionally invade the body and lead to meningococcal disease [</w:t>
      </w:r>
      <w:r w:rsidRPr="002F4660">
        <w:rPr>
          <w:rFonts w:cstheme="minorHAnsi"/>
          <w:bCs/>
          <w:color w:val="0000FF"/>
          <w:lang w:val="en-US"/>
        </w:rPr>
        <w:t>1,2,3</w:t>
      </w:r>
      <w:r w:rsidR="00214346" w:rsidRPr="002F4660">
        <w:rPr>
          <w:rFonts w:cstheme="minorHAnsi"/>
          <w:bCs/>
          <w:color w:val="0000FF"/>
          <w:lang w:val="en-US"/>
        </w:rPr>
        <w:t>,4</w:t>
      </w:r>
      <w:r w:rsidRPr="002F4660">
        <w:rPr>
          <w:rFonts w:cstheme="minorHAnsi"/>
          <w:bCs/>
          <w:color w:val="000000" w:themeColor="text1"/>
          <w:lang w:val="en-US"/>
        </w:rPr>
        <w:t>]. Transmission occurs from person to person through respiratory droplets or secretions from individuals who are asymptomatic carriers or who have active meningococcal disease [</w:t>
      </w:r>
      <w:r w:rsidRPr="002F4660">
        <w:rPr>
          <w:rFonts w:cstheme="minorHAnsi"/>
          <w:bCs/>
          <w:color w:val="0000FF"/>
          <w:lang w:val="en-US"/>
        </w:rPr>
        <w:t>1,2,3</w:t>
      </w:r>
      <w:r w:rsidR="00214346" w:rsidRPr="002F4660">
        <w:rPr>
          <w:rFonts w:cstheme="minorHAnsi"/>
          <w:bCs/>
          <w:color w:val="0000FF"/>
          <w:lang w:val="en-US"/>
        </w:rPr>
        <w:t>,4</w:t>
      </w:r>
      <w:r w:rsidRPr="002F4660">
        <w:rPr>
          <w:rFonts w:cstheme="minorHAnsi"/>
          <w:bCs/>
          <w:color w:val="000000" w:themeColor="text1"/>
          <w:lang w:val="en-US"/>
        </w:rPr>
        <w:t>]. Nearly all reported cases of invasive disease worldwide are caused by one of six serogroups: A, B, C, W, X, and Y [</w:t>
      </w:r>
      <w:r w:rsidRPr="002F4660">
        <w:rPr>
          <w:rFonts w:cstheme="minorHAnsi"/>
          <w:bCs/>
          <w:color w:val="0000FF"/>
          <w:lang w:val="en-US"/>
        </w:rPr>
        <w:t>2</w:t>
      </w:r>
      <w:r w:rsidRPr="002F4660">
        <w:rPr>
          <w:rFonts w:cstheme="minorHAnsi"/>
          <w:bCs/>
          <w:color w:val="000000" w:themeColor="text1"/>
          <w:lang w:val="en-US"/>
        </w:rPr>
        <w:t>].</w:t>
      </w:r>
    </w:p>
    <w:p w14:paraId="3989585D" w14:textId="077ED00D" w:rsidR="00573668" w:rsidRPr="002F4660" w:rsidRDefault="00573668" w:rsidP="00573668">
      <w:pPr>
        <w:jc w:val="both"/>
        <w:rPr>
          <w:rFonts w:cstheme="minorHAnsi"/>
          <w:bCs/>
          <w:color w:val="000000" w:themeColor="text1"/>
          <w:lang w:val="en-US"/>
        </w:rPr>
      </w:pPr>
      <w:r w:rsidRPr="002F4660">
        <w:rPr>
          <w:rFonts w:cstheme="minorHAnsi"/>
          <w:bCs/>
          <w:color w:val="000000" w:themeColor="text1"/>
          <w:lang w:val="en-US"/>
        </w:rPr>
        <w:t>Meningitis is the most common clinical manifestation of IMD</w:t>
      </w:r>
      <w:r w:rsidR="00214346" w:rsidRPr="002F4660">
        <w:rPr>
          <w:rFonts w:cstheme="minorHAnsi"/>
          <w:bCs/>
          <w:color w:val="000000" w:themeColor="text1"/>
          <w:lang w:val="en-US"/>
        </w:rPr>
        <w:t xml:space="preserve"> [</w:t>
      </w:r>
      <w:r w:rsidR="00214346" w:rsidRPr="002F4660">
        <w:rPr>
          <w:rFonts w:cstheme="minorHAnsi"/>
          <w:bCs/>
          <w:color w:val="0000FF"/>
          <w:lang w:val="en-US"/>
        </w:rPr>
        <w:t>2,4</w:t>
      </w:r>
      <w:r w:rsidR="00214346" w:rsidRPr="002F4660">
        <w:rPr>
          <w:rFonts w:cstheme="minorHAnsi"/>
          <w:bCs/>
          <w:color w:val="000000" w:themeColor="text1"/>
          <w:lang w:val="en-US"/>
        </w:rPr>
        <w:t>]</w:t>
      </w:r>
      <w:r w:rsidRPr="002F4660">
        <w:rPr>
          <w:rFonts w:cstheme="minorHAnsi"/>
          <w:bCs/>
          <w:color w:val="000000" w:themeColor="text1"/>
          <w:lang w:val="en-US"/>
        </w:rPr>
        <w:t>. Symptoms resemble those of other forms of bacterial meningitis and typically include sudden onset of fever, headache, and neck stiffness, often accompanied by nausea, vomiting, photophobia, and altered mental status. Meningococcal septicemia (bloodstream infection or meningococcemia) occurs without meningitis in approximately 30% of invasive meningococcal infections. This condition is characterized by abrupt onset of fever, chills, cold extremities, severe muscle, joint, chest, or abdominal pain, vomiting, diarrhea, and a petechial or purpuric rash, often progressing to hypotension, shock, acute adrenal hemorrhage, and multiorgan failure</w:t>
      </w:r>
      <w:r w:rsidR="00214346" w:rsidRPr="002F4660">
        <w:rPr>
          <w:rFonts w:cstheme="minorHAnsi"/>
          <w:bCs/>
          <w:color w:val="000000" w:themeColor="text1"/>
          <w:lang w:val="en-US"/>
        </w:rPr>
        <w:t>.</w:t>
      </w:r>
      <w:r w:rsidRPr="002F4660">
        <w:rPr>
          <w:rFonts w:cstheme="minorHAnsi"/>
          <w:bCs/>
          <w:color w:val="000000" w:themeColor="text1"/>
          <w:lang w:val="en-US"/>
        </w:rPr>
        <w:t xml:space="preserve"> [</w:t>
      </w:r>
      <w:r w:rsidRPr="002F4660">
        <w:rPr>
          <w:rFonts w:cstheme="minorHAnsi"/>
          <w:bCs/>
          <w:color w:val="0000FF"/>
          <w:lang w:val="en-US"/>
        </w:rPr>
        <w:t>2,4</w:t>
      </w:r>
      <w:r w:rsidR="00214346" w:rsidRPr="002F4660">
        <w:rPr>
          <w:rFonts w:cstheme="minorHAnsi"/>
          <w:bCs/>
          <w:color w:val="0000FF"/>
          <w:lang w:val="en-US"/>
        </w:rPr>
        <w:t>,5</w:t>
      </w:r>
      <w:r w:rsidRPr="002F4660">
        <w:rPr>
          <w:rFonts w:cstheme="minorHAnsi"/>
          <w:bCs/>
          <w:color w:val="000000" w:themeColor="text1"/>
          <w:lang w:val="en-US"/>
        </w:rPr>
        <w:t>]</w:t>
      </w:r>
    </w:p>
    <w:p w14:paraId="24BB3462" w14:textId="18FCEF85" w:rsidR="00573668" w:rsidRPr="002F4660" w:rsidRDefault="00573668" w:rsidP="00573668">
      <w:pPr>
        <w:jc w:val="both"/>
        <w:rPr>
          <w:rFonts w:cstheme="minorHAnsi"/>
          <w:bCs/>
          <w:color w:val="000000" w:themeColor="text1"/>
          <w:lang w:val="en-US"/>
        </w:rPr>
      </w:pPr>
      <w:r w:rsidRPr="002F4660">
        <w:rPr>
          <w:rFonts w:cstheme="minorHAnsi"/>
          <w:bCs/>
          <w:color w:val="000000" w:themeColor="text1"/>
          <w:lang w:val="en-US"/>
        </w:rPr>
        <w:t>IMD is a major public health concern due to its severe morbidity and relatively high case</w:t>
      </w:r>
      <w:r w:rsidRPr="002F4660">
        <w:rPr>
          <w:rFonts w:ascii="Cambria Math" w:hAnsi="Cambria Math" w:cs="Cambria Math"/>
          <w:bCs/>
          <w:color w:val="000000" w:themeColor="text1"/>
          <w:lang w:val="en-US"/>
        </w:rPr>
        <w:t>‑</w:t>
      </w:r>
      <w:r w:rsidRPr="002F4660">
        <w:rPr>
          <w:rFonts w:cstheme="minorHAnsi"/>
          <w:bCs/>
          <w:color w:val="000000" w:themeColor="text1"/>
          <w:lang w:val="en-US"/>
        </w:rPr>
        <w:t>fatality rate (8–15%) [</w:t>
      </w:r>
      <w:r w:rsidRPr="002F4660">
        <w:rPr>
          <w:rFonts w:cstheme="minorHAnsi"/>
          <w:bCs/>
          <w:color w:val="0000FF"/>
          <w:lang w:val="en-US"/>
        </w:rPr>
        <w:t>2,3</w:t>
      </w:r>
      <w:r w:rsidR="00214346" w:rsidRPr="002F4660">
        <w:rPr>
          <w:rFonts w:cstheme="minorHAnsi"/>
          <w:bCs/>
          <w:color w:val="0000FF"/>
          <w:lang w:val="en-US"/>
        </w:rPr>
        <w:t>,4</w:t>
      </w:r>
      <w:r w:rsidRPr="002F4660">
        <w:rPr>
          <w:rFonts w:cstheme="minorHAnsi"/>
          <w:bCs/>
          <w:color w:val="000000" w:themeColor="text1"/>
          <w:lang w:val="en-US"/>
        </w:rPr>
        <w:t>]. Notably, up to 20% of survivors experience permanent sequelae, including hearing loss, neurological impairment, or limb loss [</w:t>
      </w:r>
      <w:r w:rsidRPr="002F4660">
        <w:rPr>
          <w:rFonts w:cstheme="minorHAnsi"/>
          <w:bCs/>
          <w:color w:val="0000FF"/>
          <w:lang w:val="en-US"/>
        </w:rPr>
        <w:t>2</w:t>
      </w:r>
      <w:r w:rsidRPr="002F4660">
        <w:rPr>
          <w:rFonts w:cstheme="minorHAnsi"/>
          <w:bCs/>
          <w:color w:val="0000FF"/>
          <w:lang w:val="en-US"/>
        </w:rPr>
        <w:t>,</w:t>
      </w:r>
      <w:r w:rsidR="00214346" w:rsidRPr="002F4660">
        <w:rPr>
          <w:rFonts w:cstheme="minorHAnsi"/>
          <w:bCs/>
          <w:color w:val="0000FF"/>
          <w:lang w:val="en-US"/>
        </w:rPr>
        <w:t>6</w:t>
      </w:r>
      <w:r w:rsidRPr="002F4660">
        <w:rPr>
          <w:rFonts w:cstheme="minorHAnsi"/>
          <w:bCs/>
          <w:color w:val="000000" w:themeColor="text1"/>
          <w:lang w:val="en-US"/>
        </w:rPr>
        <w:t>].</w:t>
      </w:r>
    </w:p>
    <w:p w14:paraId="422A2D41" w14:textId="1B557C2C" w:rsidR="00E002D8" w:rsidRPr="00740368" w:rsidRDefault="00CF4E23" w:rsidP="005C124D">
      <w:pPr>
        <w:rPr>
          <w:rFonts w:cs="Times New Roman"/>
          <w:b/>
          <w:color w:val="4F81BD" w:themeColor="accent1"/>
          <w:sz w:val="24"/>
          <w:szCs w:val="24"/>
          <w:lang w:val="en-US"/>
        </w:rPr>
      </w:pPr>
      <w:r w:rsidRPr="00740368">
        <w:rPr>
          <w:rFonts w:cs="Times New Roman"/>
          <w:b/>
          <w:color w:val="4F81BD" w:themeColor="accent1"/>
          <w:sz w:val="24"/>
          <w:szCs w:val="24"/>
          <w:lang w:val="en-US"/>
        </w:rPr>
        <w:t>Time trend</w:t>
      </w:r>
      <w:r w:rsidR="00C57E96" w:rsidRPr="00740368">
        <w:rPr>
          <w:rFonts w:cs="Times New Roman"/>
          <w:b/>
          <w:color w:val="4F81BD" w:themeColor="accent1"/>
          <w:sz w:val="24"/>
          <w:szCs w:val="24"/>
          <w:lang w:val="en-US"/>
        </w:rPr>
        <w:t xml:space="preserve"> </w:t>
      </w:r>
    </w:p>
    <w:p w14:paraId="75DCC644" w14:textId="0DA423F4" w:rsidR="00C82056" w:rsidRDefault="00834A11" w:rsidP="00140B2A">
      <w:pPr>
        <w:jc w:val="both"/>
        <w:rPr>
          <w:rFonts w:cs="Times New Roman"/>
          <w:sz w:val="24"/>
          <w:szCs w:val="24"/>
          <w:lang w:val="en-US"/>
        </w:rPr>
      </w:pPr>
      <w:r w:rsidRPr="00834A11">
        <w:rPr>
          <w:rFonts w:cs="Times New Roman"/>
          <w:sz w:val="24"/>
          <w:szCs w:val="24"/>
          <w:lang w:val="en-US"/>
        </w:rPr>
        <w:t>Between 2004 and 202</w:t>
      </w:r>
      <w:r w:rsidR="00A2794B">
        <w:rPr>
          <w:rFonts w:cs="Times New Roman"/>
          <w:sz w:val="24"/>
          <w:szCs w:val="24"/>
          <w:lang w:val="en-US"/>
        </w:rPr>
        <w:t>5</w:t>
      </w:r>
      <w:r w:rsidRPr="00834A11">
        <w:rPr>
          <w:rFonts w:cs="Times New Roman"/>
          <w:sz w:val="24"/>
          <w:szCs w:val="24"/>
          <w:lang w:val="en-US"/>
        </w:rPr>
        <w:t>, 1,</w:t>
      </w:r>
      <w:r w:rsidR="00DD599F" w:rsidRPr="00DD599F">
        <w:rPr>
          <w:rFonts w:cs="Times New Roman"/>
          <w:sz w:val="24"/>
          <w:szCs w:val="24"/>
          <w:lang w:val="en-US"/>
        </w:rPr>
        <w:t>2</w:t>
      </w:r>
      <w:r w:rsidR="00E54D92">
        <w:rPr>
          <w:rFonts w:cs="Times New Roman"/>
          <w:sz w:val="24"/>
          <w:szCs w:val="24"/>
          <w:lang w:val="en-US"/>
        </w:rPr>
        <w:t>12</w:t>
      </w:r>
      <w:r w:rsidRPr="00834A11">
        <w:rPr>
          <w:rFonts w:cs="Times New Roman"/>
          <w:sz w:val="24"/>
          <w:szCs w:val="24"/>
          <w:lang w:val="en-US"/>
        </w:rPr>
        <w:t xml:space="preserve"> cases of </w:t>
      </w:r>
      <w:r w:rsidR="0038459E">
        <w:rPr>
          <w:rFonts w:cs="Times New Roman"/>
          <w:sz w:val="24"/>
          <w:szCs w:val="24"/>
          <w:lang w:val="en-US"/>
        </w:rPr>
        <w:t>IMD</w:t>
      </w:r>
      <w:r w:rsidRPr="00834A11">
        <w:rPr>
          <w:rFonts w:cs="Times New Roman"/>
          <w:sz w:val="24"/>
          <w:szCs w:val="24"/>
          <w:lang w:val="en-US"/>
        </w:rPr>
        <w:t xml:space="preserve"> were reported to the NPHO, with annual cases ranging from 4 to 1</w:t>
      </w:r>
      <w:r w:rsidR="00E54D92">
        <w:rPr>
          <w:rFonts w:cs="Times New Roman"/>
          <w:sz w:val="24"/>
          <w:szCs w:val="24"/>
          <w:lang w:val="en-US"/>
        </w:rPr>
        <w:t>114</w:t>
      </w:r>
      <w:r w:rsidRPr="00834A11">
        <w:rPr>
          <w:rFonts w:cs="Times New Roman"/>
          <w:sz w:val="24"/>
          <w:szCs w:val="24"/>
          <w:lang w:val="en-US"/>
        </w:rPr>
        <w:t xml:space="preserve"> and a </w:t>
      </w:r>
      <w:r>
        <w:rPr>
          <w:rFonts w:cs="Times New Roman"/>
          <w:sz w:val="24"/>
          <w:szCs w:val="24"/>
          <w:lang w:val="en-US"/>
        </w:rPr>
        <w:t>mean</w:t>
      </w:r>
      <w:r w:rsidRPr="00834A11">
        <w:rPr>
          <w:rFonts w:cs="Times New Roman"/>
          <w:sz w:val="24"/>
          <w:szCs w:val="24"/>
          <w:lang w:val="en-US"/>
        </w:rPr>
        <w:t xml:space="preserve"> annual notification rate of 0.5</w:t>
      </w:r>
      <w:r w:rsidR="00DD599F" w:rsidRPr="0046606A">
        <w:rPr>
          <w:rFonts w:cs="Times New Roman"/>
          <w:sz w:val="24"/>
          <w:szCs w:val="24"/>
          <w:lang w:val="en-US"/>
        </w:rPr>
        <w:t>0</w:t>
      </w:r>
      <w:r w:rsidRPr="00834A11">
        <w:rPr>
          <w:rFonts w:cs="Times New Roman"/>
          <w:sz w:val="24"/>
          <w:szCs w:val="24"/>
          <w:lang w:val="en-US"/>
        </w:rPr>
        <w:t xml:space="preserve"> cases per 100,000 people. The disease's notification rate experienced a significant decline from 2013 to 2022 (</w:t>
      </w:r>
      <w:r w:rsidRPr="00834A11">
        <w:rPr>
          <w:rFonts w:cs="Times New Roman"/>
          <w:color w:val="0000FF"/>
          <w:sz w:val="24"/>
          <w:szCs w:val="24"/>
          <w:lang w:val="en-US"/>
        </w:rPr>
        <w:t>Figure 1</w:t>
      </w:r>
      <w:r w:rsidRPr="00834A11">
        <w:rPr>
          <w:rFonts w:cs="Times New Roman"/>
          <w:sz w:val="24"/>
          <w:szCs w:val="24"/>
          <w:lang w:val="en-US"/>
        </w:rPr>
        <w:t xml:space="preserve">). Notably, during the COVID-19 pandemic, the mean annual notification rate reached its lowest point, which was attributed to the implementation of restrictive measures such as social distancing, mask usage, and school closures. </w:t>
      </w:r>
      <w:r w:rsidR="0046606A">
        <w:rPr>
          <w:rFonts w:cs="Times New Roman"/>
          <w:sz w:val="24"/>
          <w:szCs w:val="24"/>
          <w:lang w:val="en-US"/>
        </w:rPr>
        <w:t>During the period 2</w:t>
      </w:r>
      <w:r w:rsidRPr="00834A11">
        <w:rPr>
          <w:rFonts w:cs="Times New Roman"/>
          <w:sz w:val="24"/>
          <w:szCs w:val="24"/>
          <w:lang w:val="en-US"/>
        </w:rPr>
        <w:t>023</w:t>
      </w:r>
      <w:r w:rsidR="0046606A">
        <w:rPr>
          <w:rFonts w:cs="Times New Roman"/>
          <w:sz w:val="24"/>
          <w:szCs w:val="24"/>
          <w:lang w:val="en-US"/>
        </w:rPr>
        <w:t>-</w:t>
      </w:r>
      <w:r w:rsidRPr="00834A11">
        <w:rPr>
          <w:rFonts w:cs="Times New Roman"/>
          <w:sz w:val="24"/>
          <w:szCs w:val="24"/>
          <w:lang w:val="en-US"/>
        </w:rPr>
        <w:t>202</w:t>
      </w:r>
      <w:r w:rsidR="0046606A">
        <w:rPr>
          <w:rFonts w:cs="Times New Roman"/>
          <w:sz w:val="24"/>
          <w:szCs w:val="24"/>
          <w:lang w:val="en-US"/>
        </w:rPr>
        <w:t>5</w:t>
      </w:r>
      <w:r w:rsidRPr="00834A11">
        <w:rPr>
          <w:rFonts w:cs="Times New Roman"/>
          <w:sz w:val="24"/>
          <w:szCs w:val="24"/>
          <w:lang w:val="en-US"/>
        </w:rPr>
        <w:t>, the annual notification rate reverted to the low pre-pandemic levels</w:t>
      </w:r>
      <w:r>
        <w:rPr>
          <w:rFonts w:cs="Times New Roman"/>
          <w:sz w:val="24"/>
          <w:szCs w:val="24"/>
          <w:lang w:val="en-US"/>
        </w:rPr>
        <w:t>.</w:t>
      </w:r>
    </w:p>
    <w:p w14:paraId="266C9A2A" w14:textId="5802E476" w:rsidR="004725C4" w:rsidRPr="002F4660" w:rsidRDefault="001068C6" w:rsidP="00140B2A">
      <w:pPr>
        <w:jc w:val="both"/>
        <w:rPr>
          <w:rFonts w:cs="Times New Roman"/>
          <w:lang w:val="en-US"/>
        </w:rPr>
      </w:pPr>
      <w:r w:rsidRPr="002F4660">
        <w:rPr>
          <w:rFonts w:cs="Times New Roman"/>
          <w:b/>
          <w:color w:val="0000FF"/>
          <w:lang w:val="en-US"/>
        </w:rPr>
        <w:t>Figure</w:t>
      </w:r>
      <w:r w:rsidR="00AE4D91" w:rsidRPr="002F4660">
        <w:rPr>
          <w:rFonts w:cs="Times New Roman"/>
          <w:b/>
          <w:color w:val="0000FF"/>
          <w:lang w:val="en-US"/>
        </w:rPr>
        <w:t xml:space="preserve"> 1</w:t>
      </w:r>
      <w:r w:rsidR="001B0C3F" w:rsidRPr="002F4660">
        <w:rPr>
          <w:rFonts w:cs="Times New Roman"/>
          <w:b/>
          <w:color w:val="0000FF"/>
          <w:lang w:val="en-US"/>
        </w:rPr>
        <w:t xml:space="preserve">. </w:t>
      </w:r>
      <w:r w:rsidR="00D3135F" w:rsidRPr="002F4660">
        <w:rPr>
          <w:rFonts w:cs="Times New Roman"/>
        </w:rPr>
        <w:t>Α</w:t>
      </w:r>
      <w:r w:rsidR="00AE4D91" w:rsidRPr="002F4660">
        <w:rPr>
          <w:rFonts w:cs="Times New Roman"/>
          <w:lang w:val="en-US"/>
        </w:rPr>
        <w:t>nnual n</w:t>
      </w:r>
      <w:r w:rsidR="00353B33" w:rsidRPr="002F4660">
        <w:rPr>
          <w:rFonts w:cs="Times New Roman"/>
          <w:lang w:val="en-US"/>
        </w:rPr>
        <w:t xml:space="preserve">otification rate </w:t>
      </w:r>
      <w:r w:rsidR="00AE4D91" w:rsidRPr="002F4660">
        <w:rPr>
          <w:rFonts w:cs="Times New Roman"/>
          <w:lang w:val="en-US"/>
        </w:rPr>
        <w:t xml:space="preserve">time trend </w:t>
      </w:r>
      <w:r w:rsidR="00353B33" w:rsidRPr="002F4660">
        <w:rPr>
          <w:rFonts w:cs="Times New Roman"/>
          <w:lang w:val="en-US"/>
        </w:rPr>
        <w:t xml:space="preserve">of </w:t>
      </w:r>
      <w:r w:rsidR="0038459E" w:rsidRPr="002F4660">
        <w:rPr>
          <w:rFonts w:cs="Times New Roman"/>
          <w:lang w:val="en-US"/>
        </w:rPr>
        <w:t xml:space="preserve">invasive </w:t>
      </w:r>
      <w:r w:rsidR="008B4B96" w:rsidRPr="002F4660">
        <w:rPr>
          <w:rFonts w:cs="Times New Roman"/>
          <w:lang w:val="en-US"/>
        </w:rPr>
        <w:t>meningococcal disease</w:t>
      </w:r>
      <w:r w:rsidR="00AE4D91" w:rsidRPr="002F4660">
        <w:rPr>
          <w:rFonts w:cs="Times New Roman"/>
          <w:lang w:val="en-US"/>
        </w:rPr>
        <w:t>,</w:t>
      </w:r>
      <w:r w:rsidR="003E3238" w:rsidRPr="002F4660">
        <w:rPr>
          <w:rFonts w:cs="Times New Roman"/>
          <w:lang w:val="en-US"/>
        </w:rPr>
        <w:t xml:space="preserve"> Greece, 2004-20</w:t>
      </w:r>
      <w:r w:rsidR="00C46208" w:rsidRPr="002F4660">
        <w:rPr>
          <w:rFonts w:cs="Times New Roman"/>
          <w:lang w:val="en-US"/>
        </w:rPr>
        <w:t>2</w:t>
      </w:r>
      <w:r w:rsidR="0046606A" w:rsidRPr="002F4660">
        <w:rPr>
          <w:rFonts w:cs="Times New Roman"/>
          <w:lang w:val="en-US"/>
        </w:rPr>
        <w:t>5</w:t>
      </w:r>
    </w:p>
    <w:p w14:paraId="52BC8723" w14:textId="08CF3139" w:rsidR="0046606A" w:rsidRPr="0046606A" w:rsidRDefault="0046606A" w:rsidP="002F4660">
      <w:pPr>
        <w:ind w:left="426"/>
        <w:rPr>
          <w:rFonts w:ascii="Times New Roman" w:hAnsi="Times New Roman" w:cs="Times New Roman"/>
          <w:b/>
          <w:color w:val="000000" w:themeColor="text1"/>
          <w:lang w:val="en-US"/>
        </w:rPr>
      </w:pPr>
      <w:r>
        <w:rPr>
          <w:rFonts w:ascii="Times New Roman" w:hAnsi="Times New Roman" w:cs="Times New Roman"/>
          <w:b/>
          <w:color w:val="000000" w:themeColor="text1"/>
          <w:lang w:val="en-US"/>
        </w:rPr>
        <w:drawing>
          <wp:inline distT="0" distB="0" distL="0" distR="0" wp14:anchorId="70FAE93B" wp14:editId="28789232">
            <wp:extent cx="5384871" cy="2724150"/>
            <wp:effectExtent l="0" t="0" r="6350" b="0"/>
            <wp:docPr id="9971821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1206" cy="2737473"/>
                    </a:xfrm>
                    <a:prstGeom prst="rect">
                      <a:avLst/>
                    </a:prstGeom>
                    <a:noFill/>
                  </pic:spPr>
                </pic:pic>
              </a:graphicData>
            </a:graphic>
          </wp:inline>
        </w:drawing>
      </w:r>
    </w:p>
    <w:p w14:paraId="20C1210C" w14:textId="77777777" w:rsidR="00523F6A" w:rsidRPr="00740368" w:rsidRDefault="00CF4E23" w:rsidP="0081275C">
      <w:pPr>
        <w:rPr>
          <w:rFonts w:cs="Times New Roman"/>
          <w:b/>
          <w:color w:val="4F81BD" w:themeColor="accent1"/>
          <w:sz w:val="24"/>
          <w:szCs w:val="24"/>
          <w:lang w:val="en-US"/>
        </w:rPr>
      </w:pPr>
      <w:r w:rsidRPr="00740368">
        <w:rPr>
          <w:rFonts w:cs="Times New Roman"/>
          <w:b/>
          <w:color w:val="4F81BD" w:themeColor="accent1"/>
          <w:sz w:val="24"/>
          <w:szCs w:val="24"/>
          <w:lang w:val="en-US"/>
        </w:rPr>
        <w:lastRenderedPageBreak/>
        <w:t>Age distribution</w:t>
      </w:r>
    </w:p>
    <w:p w14:paraId="06DE1488" w14:textId="4EC458B8" w:rsidR="00834A11" w:rsidRPr="002F4660" w:rsidRDefault="00834A11" w:rsidP="005E390D">
      <w:pPr>
        <w:jc w:val="both"/>
        <w:rPr>
          <w:rFonts w:cs="Times New Roman"/>
          <w:lang w:val="en-US"/>
        </w:rPr>
      </w:pPr>
      <w:r w:rsidRPr="002F4660">
        <w:rPr>
          <w:rFonts w:cs="Times New Roman"/>
          <w:lang w:val="en-US"/>
        </w:rPr>
        <w:t>Between 2004 and 202</w:t>
      </w:r>
      <w:r w:rsidR="0046606A" w:rsidRPr="002F4660">
        <w:rPr>
          <w:rFonts w:cs="Times New Roman"/>
          <w:lang w:val="en-US"/>
        </w:rPr>
        <w:t>5</w:t>
      </w:r>
      <w:r w:rsidRPr="002F4660">
        <w:rPr>
          <w:rFonts w:cs="Times New Roman"/>
          <w:lang w:val="en-US"/>
        </w:rPr>
        <w:t>, a total of 1,</w:t>
      </w:r>
      <w:r w:rsidR="0046606A" w:rsidRPr="002F4660">
        <w:rPr>
          <w:rFonts w:cs="Times New Roman"/>
          <w:lang w:val="en-US"/>
        </w:rPr>
        <w:t>207</w:t>
      </w:r>
      <w:r w:rsidRPr="002F4660">
        <w:rPr>
          <w:rFonts w:cs="Times New Roman"/>
          <w:lang w:val="en-US"/>
        </w:rPr>
        <w:t xml:space="preserve"> </w:t>
      </w:r>
      <w:r w:rsidR="0038459E" w:rsidRPr="002F4660">
        <w:rPr>
          <w:rFonts w:cs="Times New Roman"/>
          <w:lang w:val="en-US"/>
        </w:rPr>
        <w:t>IMD</w:t>
      </w:r>
      <w:r w:rsidRPr="002F4660">
        <w:rPr>
          <w:rFonts w:cs="Times New Roman"/>
          <w:lang w:val="en-US"/>
        </w:rPr>
        <w:t xml:space="preserve"> cases were recorded with a known date of birth, while one case lacked this information. The disease was most prevalent among children aged 0-4 years, with a mean annual notification rate of 3.9</w:t>
      </w:r>
      <w:r w:rsidR="0046606A" w:rsidRPr="002F4660">
        <w:rPr>
          <w:rFonts w:cs="Times New Roman"/>
          <w:lang w:val="en-US"/>
        </w:rPr>
        <w:t>4</w:t>
      </w:r>
      <w:r w:rsidRPr="002F4660">
        <w:rPr>
          <w:rFonts w:cs="Times New Roman"/>
          <w:lang w:val="en-US"/>
        </w:rPr>
        <w:t xml:space="preserve"> cases per 100,000 population. The mean annual notification rate decreased progressively in older age groups, reaching 0.9</w:t>
      </w:r>
      <w:r w:rsidR="0046606A" w:rsidRPr="002F4660">
        <w:rPr>
          <w:rFonts w:cs="Times New Roman"/>
          <w:lang w:val="en-US"/>
        </w:rPr>
        <w:t>6</w:t>
      </w:r>
      <w:r w:rsidRPr="002F4660">
        <w:rPr>
          <w:rFonts w:cs="Times New Roman"/>
          <w:lang w:val="en-US"/>
        </w:rPr>
        <w:t xml:space="preserve"> cases per 100,000 population in the 5-14 age group and 0.9</w:t>
      </w:r>
      <w:r w:rsidR="0046606A" w:rsidRPr="002F4660">
        <w:rPr>
          <w:rFonts w:cs="Times New Roman"/>
          <w:lang w:val="en-US"/>
        </w:rPr>
        <w:t>2</w:t>
      </w:r>
      <w:r w:rsidRPr="002F4660">
        <w:rPr>
          <w:rFonts w:cs="Times New Roman"/>
          <w:lang w:val="en-US"/>
        </w:rPr>
        <w:t xml:space="preserve"> cases per 100,000 population in the 15-24 age group. For individuals aged 25 years and older, the mean annual notification rate did not exceed 0.2</w:t>
      </w:r>
      <w:r w:rsidR="0046606A" w:rsidRPr="002F4660">
        <w:rPr>
          <w:rFonts w:cs="Times New Roman"/>
          <w:lang w:val="en-US"/>
        </w:rPr>
        <w:t>1</w:t>
      </w:r>
      <w:r w:rsidRPr="002F4660">
        <w:rPr>
          <w:rFonts w:cs="Times New Roman"/>
          <w:lang w:val="en-US"/>
        </w:rPr>
        <w:t xml:space="preserve"> cases per 100,000 population (</w:t>
      </w:r>
      <w:r w:rsidRPr="002F4660">
        <w:rPr>
          <w:rFonts w:cs="Times New Roman"/>
          <w:color w:val="0000FF"/>
          <w:lang w:val="en-US"/>
        </w:rPr>
        <w:t>Figure 2</w:t>
      </w:r>
      <w:r w:rsidRPr="002F4660">
        <w:rPr>
          <w:rFonts w:cs="Times New Roman"/>
          <w:lang w:val="en-US"/>
        </w:rPr>
        <w:t>).</w:t>
      </w:r>
    </w:p>
    <w:p w14:paraId="04955509" w14:textId="4D791FCA" w:rsidR="00D3135F" w:rsidRPr="002F4660" w:rsidRDefault="001068C6" w:rsidP="002F4660">
      <w:pPr>
        <w:spacing w:after="120"/>
        <w:rPr>
          <w:rFonts w:cs="Times New Roman"/>
          <w:lang w:val="en-US"/>
        </w:rPr>
      </w:pPr>
      <w:r w:rsidRPr="002F4660">
        <w:rPr>
          <w:rFonts w:cs="Times New Roman"/>
          <w:b/>
          <w:color w:val="0000FF"/>
          <w:lang w:val="en-US"/>
        </w:rPr>
        <w:t>Figure</w:t>
      </w:r>
      <w:r w:rsidR="00D3135F" w:rsidRPr="002F4660">
        <w:rPr>
          <w:rFonts w:cs="Times New Roman"/>
          <w:b/>
          <w:color w:val="0000FF"/>
          <w:lang w:val="en-US"/>
        </w:rPr>
        <w:t xml:space="preserve"> 2. </w:t>
      </w:r>
      <w:r w:rsidR="00D3135F" w:rsidRPr="002F4660">
        <w:rPr>
          <w:rFonts w:cs="Times New Roman"/>
          <w:lang w:val="en-US"/>
        </w:rPr>
        <w:t xml:space="preserve">Mean annual notification rate of </w:t>
      </w:r>
      <w:r w:rsidR="0038459E" w:rsidRPr="002F4660">
        <w:rPr>
          <w:rFonts w:cs="Times New Roman"/>
          <w:lang w:val="en-US"/>
        </w:rPr>
        <w:t xml:space="preserve">invasive </w:t>
      </w:r>
      <w:r w:rsidR="00D3135F" w:rsidRPr="002F4660">
        <w:rPr>
          <w:rFonts w:cs="Times New Roman"/>
          <w:lang w:val="en-US"/>
        </w:rPr>
        <w:t>meningococcal disease (cases/100,000 population) per age group in Greece, 200</w:t>
      </w:r>
      <w:r w:rsidR="00CA25AF" w:rsidRPr="002F4660">
        <w:rPr>
          <w:rFonts w:cs="Times New Roman"/>
          <w:lang w:val="en-US"/>
        </w:rPr>
        <w:t>4-202</w:t>
      </w:r>
      <w:r w:rsidR="0046606A" w:rsidRPr="002F4660">
        <w:rPr>
          <w:rFonts w:cs="Times New Roman"/>
          <w:lang w:val="en-US"/>
        </w:rPr>
        <w:t>5</w:t>
      </w:r>
    </w:p>
    <w:p w14:paraId="43B61C3C" w14:textId="0AD235D3" w:rsidR="0046606A" w:rsidRPr="0088483B" w:rsidRDefault="0046606A" w:rsidP="0088483B">
      <w:pPr>
        <w:spacing w:after="0"/>
        <w:ind w:left="709"/>
        <w:rPr>
          <w:rFonts w:cs="Times New Roman"/>
          <w:lang w:val="en-US"/>
        </w:rPr>
      </w:pPr>
      <w:r>
        <w:rPr>
          <w:rFonts w:cs="Times New Roman"/>
          <w:sz w:val="24"/>
          <w:szCs w:val="24"/>
          <w:lang w:val="en-US"/>
        </w:rPr>
        <w:drawing>
          <wp:inline distT="0" distB="0" distL="0" distR="0" wp14:anchorId="5AC3A479" wp14:editId="4A18B197">
            <wp:extent cx="4663469" cy="2762250"/>
            <wp:effectExtent l="0" t="0" r="3810" b="0"/>
            <wp:docPr id="11024289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4130"/>
                    <a:stretch>
                      <a:fillRect/>
                    </a:stretch>
                  </pic:blipFill>
                  <pic:spPr bwMode="auto">
                    <a:xfrm>
                      <a:off x="0" y="0"/>
                      <a:ext cx="4723350" cy="2797719"/>
                    </a:xfrm>
                    <a:prstGeom prst="rect">
                      <a:avLst/>
                    </a:prstGeom>
                    <a:noFill/>
                    <a:ln>
                      <a:noFill/>
                    </a:ln>
                    <a:extLst>
                      <a:ext uri="{53640926-AAD7-44D8-BBD7-CCE9431645EC}">
                        <a14:shadowObscured xmlns:a14="http://schemas.microsoft.com/office/drawing/2010/main"/>
                      </a:ext>
                    </a:extLst>
                  </pic:spPr>
                </pic:pic>
              </a:graphicData>
            </a:graphic>
          </wp:inline>
        </w:drawing>
      </w:r>
    </w:p>
    <w:p w14:paraId="5F8CF2AF" w14:textId="6C3E4255" w:rsidR="00C40A4B" w:rsidRPr="00740368" w:rsidRDefault="00CF4E23" w:rsidP="00C01434">
      <w:pPr>
        <w:rPr>
          <w:rFonts w:cs="Times New Roman"/>
          <w:b/>
          <w:color w:val="4F81BD" w:themeColor="accent1"/>
          <w:sz w:val="24"/>
          <w:szCs w:val="24"/>
          <w:lang w:val="en-US"/>
        </w:rPr>
      </w:pPr>
      <w:r w:rsidRPr="00740368">
        <w:rPr>
          <w:rFonts w:cs="Times New Roman"/>
          <w:b/>
          <w:color w:val="4F81BD" w:themeColor="accent1"/>
          <w:sz w:val="24"/>
          <w:szCs w:val="24"/>
          <w:lang w:val="en-US"/>
        </w:rPr>
        <w:t>Laboratory data</w:t>
      </w:r>
    </w:p>
    <w:p w14:paraId="67D938A7" w14:textId="45AA71DC" w:rsidR="00ED41EF" w:rsidRPr="002F4660" w:rsidRDefault="00834A11" w:rsidP="00D3135F">
      <w:pPr>
        <w:jc w:val="both"/>
        <w:rPr>
          <w:rFonts w:cs="Times New Roman"/>
          <w:lang w:val="en-US"/>
        </w:rPr>
      </w:pPr>
      <w:r w:rsidRPr="002F4660">
        <w:rPr>
          <w:rFonts w:cs="Times New Roman"/>
          <w:lang w:val="en-US"/>
        </w:rPr>
        <w:t>Between 2004 and 202</w:t>
      </w:r>
      <w:r w:rsidR="00A2794B" w:rsidRPr="002F4660">
        <w:rPr>
          <w:rFonts w:cs="Times New Roman"/>
          <w:lang w:val="en-US"/>
        </w:rPr>
        <w:t>5</w:t>
      </w:r>
      <w:r w:rsidRPr="002F4660">
        <w:rPr>
          <w:rFonts w:cs="Times New Roman"/>
          <w:lang w:val="en-US"/>
        </w:rPr>
        <w:t>, 9</w:t>
      </w:r>
      <w:r w:rsidR="00E54D92" w:rsidRPr="002F4660">
        <w:rPr>
          <w:rFonts w:cs="Times New Roman"/>
          <w:lang w:val="en-US"/>
        </w:rPr>
        <w:t>5</w:t>
      </w:r>
      <w:r w:rsidRPr="002F4660">
        <w:rPr>
          <w:rFonts w:cs="Times New Roman"/>
          <w:lang w:val="en-US"/>
        </w:rPr>
        <w:t>.</w:t>
      </w:r>
      <w:r w:rsidR="00E54D92" w:rsidRPr="002F4660">
        <w:rPr>
          <w:rFonts w:cs="Times New Roman"/>
          <w:lang w:val="en-US"/>
        </w:rPr>
        <w:t>3</w:t>
      </w:r>
      <w:r w:rsidRPr="002F4660">
        <w:rPr>
          <w:rFonts w:cs="Times New Roman"/>
          <w:lang w:val="en-US"/>
        </w:rPr>
        <w:t>% (1,</w:t>
      </w:r>
      <w:r w:rsidR="00A271E4" w:rsidRPr="002F4660">
        <w:rPr>
          <w:rFonts w:cs="Times New Roman"/>
          <w:lang w:val="en-US"/>
        </w:rPr>
        <w:t>1</w:t>
      </w:r>
      <w:r w:rsidR="00E54D92" w:rsidRPr="002F4660">
        <w:rPr>
          <w:rFonts w:cs="Times New Roman"/>
          <w:lang w:val="en-US"/>
        </w:rPr>
        <w:t>55</w:t>
      </w:r>
      <w:r w:rsidRPr="002F4660">
        <w:rPr>
          <w:rFonts w:cs="Times New Roman"/>
          <w:lang w:val="en-US"/>
        </w:rPr>
        <w:t xml:space="preserve"> out of 1,</w:t>
      </w:r>
      <w:r w:rsidR="00A271E4" w:rsidRPr="002F4660">
        <w:rPr>
          <w:rFonts w:cs="Times New Roman"/>
          <w:lang w:val="en-US"/>
        </w:rPr>
        <w:t>2</w:t>
      </w:r>
      <w:r w:rsidR="00E54D92" w:rsidRPr="002F4660">
        <w:rPr>
          <w:rFonts w:cs="Times New Roman"/>
          <w:lang w:val="en-US"/>
        </w:rPr>
        <w:t>12</w:t>
      </w:r>
      <w:r w:rsidRPr="002F4660">
        <w:rPr>
          <w:rFonts w:cs="Times New Roman"/>
          <w:lang w:val="en-US"/>
        </w:rPr>
        <w:t xml:space="preserve">) of </w:t>
      </w:r>
      <w:r w:rsidR="0038459E" w:rsidRPr="002F4660">
        <w:rPr>
          <w:rFonts w:cs="Times New Roman"/>
          <w:lang w:val="en-US"/>
        </w:rPr>
        <w:t xml:space="preserve">IMD </w:t>
      </w:r>
      <w:r w:rsidRPr="002F4660">
        <w:rPr>
          <w:rFonts w:cs="Times New Roman"/>
          <w:lang w:val="en-US"/>
        </w:rPr>
        <w:t>cases were laboratory confirmed. During this period,</w:t>
      </w:r>
      <w:r w:rsidR="00E54D92" w:rsidRPr="002F4660">
        <w:rPr>
          <w:rFonts w:cs="Times New Roman"/>
          <w:lang w:val="en-US"/>
        </w:rPr>
        <w:t xml:space="preserve"> 80</w:t>
      </w:r>
      <w:r w:rsidRPr="002F4660">
        <w:rPr>
          <w:rFonts w:cs="Times New Roman"/>
          <w:lang w:val="en-US"/>
        </w:rPr>
        <w:t>.</w:t>
      </w:r>
      <w:r w:rsidR="00E54D92" w:rsidRPr="002F4660">
        <w:rPr>
          <w:rFonts w:cs="Times New Roman"/>
          <w:lang w:val="en-US"/>
        </w:rPr>
        <w:t>4</w:t>
      </w:r>
      <w:r w:rsidRPr="002F4660">
        <w:rPr>
          <w:rFonts w:cs="Times New Roman"/>
          <w:lang w:val="en-US"/>
        </w:rPr>
        <w:t>% (9</w:t>
      </w:r>
      <w:r w:rsidR="00A271E4" w:rsidRPr="002F4660">
        <w:rPr>
          <w:rFonts w:cs="Times New Roman"/>
          <w:lang w:val="en-US"/>
        </w:rPr>
        <w:t>75</w:t>
      </w:r>
      <w:r w:rsidRPr="002F4660">
        <w:rPr>
          <w:rFonts w:cs="Times New Roman"/>
          <w:lang w:val="en-US"/>
        </w:rPr>
        <w:t xml:space="preserve"> out of 1,</w:t>
      </w:r>
      <w:r w:rsidR="00A271E4" w:rsidRPr="002F4660">
        <w:rPr>
          <w:rFonts w:cs="Times New Roman"/>
          <w:lang w:val="en-US"/>
        </w:rPr>
        <w:t>2</w:t>
      </w:r>
      <w:r w:rsidR="00E54D92" w:rsidRPr="002F4660">
        <w:rPr>
          <w:rFonts w:cs="Times New Roman"/>
          <w:lang w:val="en-US"/>
        </w:rPr>
        <w:t>12</w:t>
      </w:r>
      <w:r w:rsidRPr="002F4660">
        <w:rPr>
          <w:rFonts w:cs="Times New Roman"/>
          <w:lang w:val="en-US"/>
        </w:rPr>
        <w:t>) of cases underwent serotyping, with 9</w:t>
      </w:r>
      <w:r w:rsidR="00A271E4" w:rsidRPr="002F4660">
        <w:rPr>
          <w:rFonts w:cs="Times New Roman"/>
          <w:lang w:val="en-US"/>
        </w:rPr>
        <w:t>4</w:t>
      </w:r>
      <w:r w:rsidRPr="002F4660">
        <w:rPr>
          <w:rFonts w:cs="Times New Roman"/>
          <w:lang w:val="en-US"/>
        </w:rPr>
        <w:t>.</w:t>
      </w:r>
      <w:r w:rsidR="00A271E4" w:rsidRPr="002F4660">
        <w:rPr>
          <w:rFonts w:cs="Times New Roman"/>
          <w:lang w:val="en-US"/>
        </w:rPr>
        <w:t>1</w:t>
      </w:r>
      <w:r w:rsidRPr="002F4660">
        <w:rPr>
          <w:rFonts w:cs="Times New Roman"/>
          <w:lang w:val="en-US"/>
        </w:rPr>
        <w:t>% (</w:t>
      </w:r>
      <w:r w:rsidR="00A271E4" w:rsidRPr="002F4660">
        <w:rPr>
          <w:rFonts w:cs="Times New Roman"/>
          <w:lang w:val="en-US"/>
        </w:rPr>
        <w:t>917</w:t>
      </w:r>
      <w:r w:rsidRPr="002F4660">
        <w:rPr>
          <w:rFonts w:cs="Times New Roman"/>
          <w:lang w:val="en-US"/>
        </w:rPr>
        <w:t xml:space="preserve"> out of 9</w:t>
      </w:r>
      <w:r w:rsidR="00A271E4" w:rsidRPr="002F4660">
        <w:rPr>
          <w:rFonts w:cs="Times New Roman"/>
          <w:lang w:val="en-US"/>
        </w:rPr>
        <w:t>75</w:t>
      </w:r>
      <w:r w:rsidRPr="002F4660">
        <w:rPr>
          <w:rFonts w:cs="Times New Roman"/>
          <w:lang w:val="en-US"/>
        </w:rPr>
        <w:t xml:space="preserve">) identified to belong to one of the five main serogroups—A, B, C, W135, and Y—responsible for most invasive meningococcal infections globally. Additionally, in 2014, one case was identified to belong to serogroup X. In Greece, </w:t>
      </w:r>
      <w:r w:rsidR="00A271E4" w:rsidRPr="002F4660">
        <w:rPr>
          <w:rFonts w:cs="Times New Roman"/>
          <w:lang w:val="en-US"/>
        </w:rPr>
        <w:t>81</w:t>
      </w:r>
      <w:r w:rsidRPr="002F4660">
        <w:rPr>
          <w:rFonts w:cs="Times New Roman"/>
          <w:lang w:val="en-US"/>
        </w:rPr>
        <w:t>.</w:t>
      </w:r>
      <w:r w:rsidR="00A271E4" w:rsidRPr="002F4660">
        <w:rPr>
          <w:rFonts w:cs="Times New Roman"/>
          <w:lang w:val="en-US"/>
        </w:rPr>
        <w:t>3</w:t>
      </w:r>
      <w:r w:rsidRPr="002F4660">
        <w:rPr>
          <w:rFonts w:cs="Times New Roman"/>
          <w:lang w:val="en-US"/>
        </w:rPr>
        <w:t>% (7</w:t>
      </w:r>
      <w:r w:rsidR="00A271E4" w:rsidRPr="002F4660">
        <w:rPr>
          <w:rFonts w:cs="Times New Roman"/>
          <w:lang w:val="en-US"/>
        </w:rPr>
        <w:t>93</w:t>
      </w:r>
      <w:r w:rsidRPr="002F4660">
        <w:rPr>
          <w:rFonts w:cs="Times New Roman"/>
          <w:lang w:val="en-US"/>
        </w:rPr>
        <w:t xml:space="preserve"> out of 9</w:t>
      </w:r>
      <w:r w:rsidR="00A271E4" w:rsidRPr="002F4660">
        <w:rPr>
          <w:rFonts w:cs="Times New Roman"/>
          <w:lang w:val="en-US"/>
        </w:rPr>
        <w:t>75</w:t>
      </w:r>
      <w:r w:rsidRPr="002F4660">
        <w:rPr>
          <w:rFonts w:cs="Times New Roman"/>
          <w:lang w:val="en-US"/>
        </w:rPr>
        <w:t xml:space="preserve">) of </w:t>
      </w:r>
      <w:r w:rsidR="0038459E" w:rsidRPr="002F4660">
        <w:rPr>
          <w:rFonts w:cs="Times New Roman"/>
          <w:lang w:val="en-US"/>
        </w:rPr>
        <w:t xml:space="preserve">IMD </w:t>
      </w:r>
      <w:r w:rsidRPr="002F4660">
        <w:rPr>
          <w:rFonts w:cs="Times New Roman"/>
          <w:lang w:val="en-US"/>
        </w:rPr>
        <w:t>cases were attributed to serogroup B, followed by serogroup C (</w:t>
      </w:r>
      <w:r w:rsidRPr="002F4660">
        <w:rPr>
          <w:rFonts w:cs="Times New Roman"/>
          <w:color w:val="0000FF"/>
          <w:lang w:val="en-US"/>
        </w:rPr>
        <w:t>Graph 3</w:t>
      </w:r>
      <w:r w:rsidRPr="002F4660">
        <w:rPr>
          <w:rFonts w:cs="Times New Roman"/>
          <w:lang w:val="en-US"/>
        </w:rPr>
        <w:t>).</w:t>
      </w:r>
    </w:p>
    <w:p w14:paraId="135F4147" w14:textId="10D7409F" w:rsidR="004863F6" w:rsidRPr="002F4660" w:rsidRDefault="001068C6" w:rsidP="00D3135F">
      <w:pPr>
        <w:jc w:val="both"/>
        <w:rPr>
          <w:rFonts w:cs="Times New Roman"/>
          <w:lang w:val="en-US"/>
        </w:rPr>
      </w:pPr>
      <w:r w:rsidRPr="002F4660">
        <w:rPr>
          <w:rFonts w:cs="Times New Roman"/>
          <w:b/>
          <w:color w:val="0000FF"/>
          <w:lang w:val="en-US"/>
        </w:rPr>
        <w:t>Figure</w:t>
      </w:r>
      <w:r w:rsidR="005C124D" w:rsidRPr="002F4660">
        <w:rPr>
          <w:rFonts w:cs="Times New Roman"/>
          <w:b/>
          <w:color w:val="0000FF"/>
          <w:lang w:val="en-US"/>
        </w:rPr>
        <w:t xml:space="preserve"> 3</w:t>
      </w:r>
      <w:r w:rsidR="004863F6" w:rsidRPr="002F4660">
        <w:rPr>
          <w:rFonts w:cs="Times New Roman"/>
          <w:b/>
          <w:color w:val="0000FF"/>
          <w:lang w:val="en-US"/>
        </w:rPr>
        <w:t>.</w:t>
      </w:r>
      <w:r w:rsidR="005C124D" w:rsidRPr="002F4660">
        <w:rPr>
          <w:rFonts w:cs="Times New Roman"/>
          <w:b/>
          <w:color w:val="0000FF"/>
          <w:lang w:val="en-US"/>
        </w:rPr>
        <w:t xml:space="preserve"> </w:t>
      </w:r>
      <w:r w:rsidR="004863F6" w:rsidRPr="002F4660">
        <w:rPr>
          <w:rFonts w:cs="Times New Roman"/>
          <w:lang w:val="en-US"/>
        </w:rPr>
        <w:t xml:space="preserve">Distribution of </w:t>
      </w:r>
      <w:r w:rsidR="0038459E" w:rsidRPr="002F4660">
        <w:rPr>
          <w:rFonts w:cs="Times New Roman"/>
          <w:lang w:val="en-US"/>
        </w:rPr>
        <w:t xml:space="preserve">invasive </w:t>
      </w:r>
      <w:r w:rsidR="004863F6" w:rsidRPr="002F4660">
        <w:rPr>
          <w:rFonts w:cs="Times New Roman"/>
          <w:lang w:val="en-US"/>
        </w:rPr>
        <w:t xml:space="preserve">meningococcal disease </w:t>
      </w:r>
      <w:r w:rsidR="00C66617" w:rsidRPr="002F4660">
        <w:rPr>
          <w:rFonts w:cs="Times New Roman"/>
          <w:lang w:val="en-US"/>
        </w:rPr>
        <w:t>by sero</w:t>
      </w:r>
      <w:r w:rsidR="0011252E" w:rsidRPr="002F4660">
        <w:rPr>
          <w:rFonts w:cs="Times New Roman"/>
          <w:lang w:val="en-US"/>
        </w:rPr>
        <w:t>group</w:t>
      </w:r>
      <w:r w:rsidR="00D10177" w:rsidRPr="002F4660">
        <w:rPr>
          <w:rFonts w:cs="Times New Roman"/>
          <w:lang w:val="en-US"/>
        </w:rPr>
        <w:t xml:space="preserve"> in Greece, 2004-20</w:t>
      </w:r>
      <w:r w:rsidR="00265BE8" w:rsidRPr="002F4660">
        <w:rPr>
          <w:rFonts w:cs="Times New Roman"/>
          <w:lang w:val="en-US"/>
        </w:rPr>
        <w:t>2</w:t>
      </w:r>
      <w:r w:rsidR="00A271E4" w:rsidRPr="002F4660">
        <w:rPr>
          <w:rFonts w:cs="Times New Roman"/>
          <w:lang w:val="en-US"/>
        </w:rPr>
        <w:t>5</w:t>
      </w:r>
    </w:p>
    <w:p w14:paraId="4DBCA761" w14:textId="1E06BB25" w:rsidR="00A271E4" w:rsidRPr="00ED54AD" w:rsidRDefault="00A271E4" w:rsidP="002F4660">
      <w:pPr>
        <w:ind w:left="1418"/>
        <w:jc w:val="both"/>
        <w:rPr>
          <w:rFonts w:cs="Times New Roman"/>
          <w:sz w:val="24"/>
          <w:szCs w:val="24"/>
          <w:lang w:val="en-US"/>
        </w:rPr>
      </w:pPr>
      <w:r>
        <w:rPr>
          <w:rFonts w:cs="Times New Roman"/>
          <w:sz w:val="24"/>
          <w:szCs w:val="24"/>
          <w:lang w:val="en-US"/>
        </w:rPr>
        <w:drawing>
          <wp:inline distT="0" distB="0" distL="0" distR="0" wp14:anchorId="6CE874E7" wp14:editId="5B4CE85E">
            <wp:extent cx="3867150" cy="2452292"/>
            <wp:effectExtent l="0" t="0" r="0" b="5715"/>
            <wp:docPr id="20915066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921728" cy="2486902"/>
                    </a:xfrm>
                    <a:prstGeom prst="rect">
                      <a:avLst/>
                    </a:prstGeom>
                    <a:noFill/>
                  </pic:spPr>
                </pic:pic>
              </a:graphicData>
            </a:graphic>
          </wp:inline>
        </w:drawing>
      </w:r>
    </w:p>
    <w:p w14:paraId="6385C2E9" w14:textId="77777777" w:rsidR="008B21D3" w:rsidRDefault="008B21D3" w:rsidP="009C13CB">
      <w:pPr>
        <w:ind w:right="84"/>
        <w:jc w:val="center"/>
        <w:rPr>
          <w:rFonts w:ascii="Times New Roman" w:hAnsi="Times New Roman" w:cs="Times New Roman"/>
          <w:lang w:val="en-US"/>
        </w:rPr>
      </w:pPr>
    </w:p>
    <w:p w14:paraId="48358DDD" w14:textId="606DFEB3" w:rsidR="00143C7B" w:rsidRPr="00D3135F" w:rsidRDefault="00D5718E" w:rsidP="00C01434">
      <w:pPr>
        <w:rPr>
          <w:rFonts w:cs="Times New Roman"/>
          <w:b/>
          <w:color w:val="4F81BD"/>
          <w:sz w:val="24"/>
          <w:szCs w:val="24"/>
          <w:lang w:val="en-US"/>
        </w:rPr>
      </w:pPr>
      <w:r w:rsidRPr="00314076">
        <w:rPr>
          <w:rFonts w:cs="Times New Roman"/>
          <w:b/>
          <w:color w:val="4F81BD"/>
          <w:sz w:val="24"/>
          <w:szCs w:val="24"/>
          <w:lang w:val="en-US"/>
        </w:rPr>
        <w:t>F</w:t>
      </w:r>
      <w:r w:rsidR="00CF4E23" w:rsidRPr="00314076">
        <w:rPr>
          <w:rFonts w:cs="Times New Roman"/>
          <w:b/>
          <w:color w:val="4F81BD"/>
          <w:sz w:val="24"/>
          <w:szCs w:val="24"/>
          <w:lang w:val="en-US"/>
        </w:rPr>
        <w:t>atality</w:t>
      </w:r>
      <w:r w:rsidR="00D3135F">
        <w:rPr>
          <w:rFonts w:cs="Times New Roman"/>
          <w:b/>
          <w:color w:val="4F81BD"/>
          <w:sz w:val="24"/>
          <w:szCs w:val="24"/>
          <w:lang w:val="en-US"/>
        </w:rPr>
        <w:t xml:space="preserve"> and</w:t>
      </w:r>
      <w:r w:rsidR="00CF4E23" w:rsidRPr="00314076">
        <w:rPr>
          <w:rFonts w:cs="Times New Roman"/>
          <w:b/>
          <w:color w:val="4F81BD"/>
          <w:sz w:val="24"/>
          <w:szCs w:val="24"/>
          <w:lang w:val="en-US"/>
        </w:rPr>
        <w:t xml:space="preserve"> </w:t>
      </w:r>
      <w:r w:rsidR="00D967E6" w:rsidRPr="00314076">
        <w:rPr>
          <w:rFonts w:cs="Times New Roman"/>
          <w:b/>
          <w:color w:val="4F81BD"/>
          <w:sz w:val="24"/>
          <w:szCs w:val="24"/>
          <w:lang w:val="en-US"/>
        </w:rPr>
        <w:t>M</w:t>
      </w:r>
      <w:r w:rsidR="00CF4E23" w:rsidRPr="00314076">
        <w:rPr>
          <w:rFonts w:cs="Times New Roman"/>
          <w:b/>
          <w:color w:val="4F81BD"/>
          <w:sz w:val="24"/>
          <w:szCs w:val="24"/>
          <w:lang w:val="en-US"/>
        </w:rPr>
        <w:t>ortality</w:t>
      </w:r>
      <w:r w:rsidR="00D3135F" w:rsidRPr="003F6FD1">
        <w:rPr>
          <w:rFonts w:cs="Times New Roman"/>
          <w:b/>
          <w:color w:val="4F81BD"/>
          <w:sz w:val="24"/>
          <w:szCs w:val="24"/>
          <w:lang w:val="en-US"/>
        </w:rPr>
        <w:t xml:space="preserve"> </w:t>
      </w:r>
      <w:r w:rsidR="00D3135F">
        <w:rPr>
          <w:rFonts w:cs="Times New Roman"/>
          <w:b/>
          <w:color w:val="4F81BD"/>
          <w:sz w:val="24"/>
          <w:szCs w:val="24"/>
          <w:lang w:val="en-US"/>
        </w:rPr>
        <w:t>rates</w:t>
      </w:r>
    </w:p>
    <w:p w14:paraId="49902D14" w14:textId="12EDBA44" w:rsidR="004240DE" w:rsidRPr="005662BF" w:rsidRDefault="007108D9" w:rsidP="005E390D">
      <w:pPr>
        <w:jc w:val="both"/>
        <w:rPr>
          <w:rFonts w:cs="Times New Roman"/>
          <w:lang w:val="en-US"/>
        </w:rPr>
      </w:pPr>
      <w:r w:rsidRPr="005662BF">
        <w:rPr>
          <w:rFonts w:cs="Times New Roman"/>
          <w:lang w:val="en-US"/>
        </w:rPr>
        <w:t xml:space="preserve">During </w:t>
      </w:r>
      <w:r w:rsidR="00D32791" w:rsidRPr="005662BF">
        <w:rPr>
          <w:rFonts w:cs="Times New Roman"/>
          <w:lang w:val="en-US"/>
        </w:rPr>
        <w:t>2004-20</w:t>
      </w:r>
      <w:r w:rsidR="00AC6BEB" w:rsidRPr="005662BF">
        <w:rPr>
          <w:rFonts w:cs="Times New Roman"/>
          <w:lang w:val="en-US"/>
        </w:rPr>
        <w:t>2</w:t>
      </w:r>
      <w:r w:rsidR="00A271E4" w:rsidRPr="005662BF">
        <w:rPr>
          <w:rFonts w:cs="Times New Roman"/>
          <w:lang w:val="en-US"/>
        </w:rPr>
        <w:t>5</w:t>
      </w:r>
      <w:r w:rsidR="00747E0B" w:rsidRPr="005662BF">
        <w:rPr>
          <w:rFonts w:cs="Times New Roman"/>
          <w:lang w:val="en-US"/>
        </w:rPr>
        <w:t xml:space="preserve">, </w:t>
      </w:r>
      <w:r w:rsidR="008B21D3" w:rsidRPr="005662BF">
        <w:rPr>
          <w:rFonts w:cs="Times New Roman"/>
          <w:lang w:val="en-US"/>
        </w:rPr>
        <w:t>7</w:t>
      </w:r>
      <w:r w:rsidR="00A271E4" w:rsidRPr="005662BF">
        <w:rPr>
          <w:rFonts w:cs="Times New Roman"/>
          <w:lang w:val="en-US"/>
        </w:rPr>
        <w:t>2</w:t>
      </w:r>
      <w:r w:rsidRPr="005662BF">
        <w:rPr>
          <w:rFonts w:cs="Times New Roman"/>
          <w:lang w:val="en-US"/>
        </w:rPr>
        <w:t xml:space="preserve"> deaths due to </w:t>
      </w:r>
      <w:r w:rsidR="0038459E" w:rsidRPr="005662BF">
        <w:rPr>
          <w:rFonts w:cs="Times New Roman"/>
          <w:lang w:val="en-US"/>
        </w:rPr>
        <w:t xml:space="preserve">IMD </w:t>
      </w:r>
      <w:r w:rsidR="0084586F" w:rsidRPr="005662BF">
        <w:rPr>
          <w:rFonts w:cs="Times New Roman"/>
          <w:lang w:val="en-US"/>
        </w:rPr>
        <w:t>were recorded,</w:t>
      </w:r>
      <w:r w:rsidR="00747E0B" w:rsidRPr="005662BF">
        <w:rPr>
          <w:rFonts w:cs="Times New Roman"/>
          <w:lang w:val="en-US"/>
        </w:rPr>
        <w:t xml:space="preserve"> </w:t>
      </w:r>
      <w:r w:rsidRPr="005662BF">
        <w:rPr>
          <w:rFonts w:cs="Times New Roman"/>
          <w:lang w:val="en-US"/>
        </w:rPr>
        <w:t>indicating</w:t>
      </w:r>
      <w:r w:rsidR="00747E0B" w:rsidRPr="005662BF">
        <w:rPr>
          <w:rFonts w:cs="Times New Roman"/>
          <w:lang w:val="en-US"/>
        </w:rPr>
        <w:t xml:space="preserve"> </w:t>
      </w:r>
      <w:r w:rsidRPr="005662BF">
        <w:rPr>
          <w:rFonts w:cs="Times New Roman"/>
          <w:lang w:val="en-US"/>
        </w:rPr>
        <w:t xml:space="preserve">a case fatality rate of </w:t>
      </w:r>
      <w:r w:rsidR="00AF515D" w:rsidRPr="005662BF">
        <w:rPr>
          <w:rFonts w:cs="Times New Roman"/>
          <w:lang w:val="en-US"/>
        </w:rPr>
        <w:t>6</w:t>
      </w:r>
      <w:r w:rsidR="00747E0B" w:rsidRPr="005662BF">
        <w:rPr>
          <w:rFonts w:cs="Times New Roman"/>
          <w:lang w:val="en-US"/>
        </w:rPr>
        <w:t xml:space="preserve">%. </w:t>
      </w:r>
      <w:r w:rsidR="00B819FD" w:rsidRPr="005662BF">
        <w:rPr>
          <w:rFonts w:cs="Times New Roman"/>
          <w:lang w:val="en-US"/>
        </w:rPr>
        <w:t xml:space="preserve">The </w:t>
      </w:r>
      <w:r w:rsidR="0055066D" w:rsidRPr="005662BF">
        <w:rPr>
          <w:rFonts w:cs="Times New Roman"/>
          <w:lang w:val="en-US"/>
        </w:rPr>
        <w:t>highest</w:t>
      </w:r>
      <w:r w:rsidR="0084586F" w:rsidRPr="005662BF">
        <w:rPr>
          <w:rFonts w:cs="Times New Roman"/>
          <w:lang w:val="en-US"/>
        </w:rPr>
        <w:t xml:space="preserve"> </w:t>
      </w:r>
      <w:r w:rsidRPr="005662BF">
        <w:rPr>
          <w:rFonts w:cs="Times New Roman"/>
          <w:lang w:val="en-US"/>
        </w:rPr>
        <w:t>fatality</w:t>
      </w:r>
      <w:r w:rsidR="0084586F" w:rsidRPr="005662BF">
        <w:rPr>
          <w:rFonts w:cs="Times New Roman"/>
          <w:lang w:val="en-US"/>
        </w:rPr>
        <w:t xml:space="preserve"> rat</w:t>
      </w:r>
      <w:r w:rsidR="006D09A3" w:rsidRPr="005662BF">
        <w:rPr>
          <w:rFonts w:cs="Times New Roman"/>
          <w:lang w:val="en-US"/>
        </w:rPr>
        <w:t xml:space="preserve">e </w:t>
      </w:r>
      <w:r w:rsidRPr="005662BF">
        <w:rPr>
          <w:rFonts w:cs="Times New Roman"/>
          <w:lang w:val="en-US"/>
        </w:rPr>
        <w:t xml:space="preserve">was </w:t>
      </w:r>
      <w:r w:rsidR="006D09A3" w:rsidRPr="005662BF">
        <w:rPr>
          <w:rFonts w:cs="Times New Roman"/>
          <w:lang w:val="en-US"/>
        </w:rPr>
        <w:t xml:space="preserve">observed in the year </w:t>
      </w:r>
      <w:r w:rsidR="00166A74" w:rsidRPr="005662BF">
        <w:rPr>
          <w:rFonts w:cs="Times New Roman"/>
          <w:lang w:val="en-US"/>
        </w:rPr>
        <w:t>201</w:t>
      </w:r>
      <w:r w:rsidR="00140B2A" w:rsidRPr="005662BF">
        <w:rPr>
          <w:rFonts w:cs="Times New Roman"/>
          <w:lang w:val="en-US"/>
        </w:rPr>
        <w:t>8</w:t>
      </w:r>
      <w:r w:rsidR="00166A74" w:rsidRPr="005662BF">
        <w:rPr>
          <w:rFonts w:cs="Times New Roman"/>
          <w:lang w:val="en-US"/>
        </w:rPr>
        <w:t xml:space="preserve"> (11</w:t>
      </w:r>
      <w:r w:rsidR="006D09A3" w:rsidRPr="005662BF">
        <w:rPr>
          <w:rFonts w:cs="Times New Roman"/>
          <w:lang w:val="en-US"/>
        </w:rPr>
        <w:t>.</w:t>
      </w:r>
      <w:r w:rsidR="00140B2A" w:rsidRPr="005662BF">
        <w:rPr>
          <w:rFonts w:cs="Times New Roman"/>
          <w:lang w:val="en-US"/>
        </w:rPr>
        <w:t>8</w:t>
      </w:r>
      <w:r w:rsidR="0084586F" w:rsidRPr="005662BF">
        <w:rPr>
          <w:rFonts w:cs="Times New Roman"/>
          <w:lang w:val="en-US"/>
        </w:rPr>
        <w:t xml:space="preserve">%) </w:t>
      </w:r>
      <w:r w:rsidR="00CE72B0" w:rsidRPr="005662BF">
        <w:rPr>
          <w:rFonts w:cs="Times New Roman"/>
          <w:lang w:val="en-US"/>
        </w:rPr>
        <w:t>while no fatalities were reported during the years 2020-2022</w:t>
      </w:r>
      <w:r w:rsidR="0084586F" w:rsidRPr="005662BF">
        <w:rPr>
          <w:rFonts w:cs="Times New Roman"/>
          <w:lang w:val="en-US"/>
        </w:rPr>
        <w:t xml:space="preserve">. </w:t>
      </w:r>
      <w:r w:rsidR="00B819FD" w:rsidRPr="005662BF">
        <w:rPr>
          <w:rFonts w:cs="Times New Roman"/>
          <w:lang w:val="en-US"/>
        </w:rPr>
        <w:t xml:space="preserve">The mean annual </w:t>
      </w:r>
      <w:r w:rsidR="00D5718E" w:rsidRPr="005662BF">
        <w:rPr>
          <w:rFonts w:cs="Times New Roman"/>
          <w:lang w:val="en-US"/>
        </w:rPr>
        <w:t>mortality</w:t>
      </w:r>
      <w:r w:rsidR="00B819FD" w:rsidRPr="005662BF">
        <w:rPr>
          <w:rFonts w:cs="Times New Roman"/>
          <w:lang w:val="en-US"/>
        </w:rPr>
        <w:t xml:space="preserve"> rat</w:t>
      </w:r>
      <w:r w:rsidR="001B2FA2" w:rsidRPr="005662BF">
        <w:rPr>
          <w:rFonts w:cs="Times New Roman"/>
          <w:lang w:val="en-US"/>
        </w:rPr>
        <w:t>e for the period 2004-20</w:t>
      </w:r>
      <w:r w:rsidR="005E5A25" w:rsidRPr="005662BF">
        <w:rPr>
          <w:rFonts w:cs="Times New Roman"/>
          <w:lang w:val="en-US"/>
        </w:rPr>
        <w:t>2</w:t>
      </w:r>
      <w:r w:rsidR="00A271E4" w:rsidRPr="005662BF">
        <w:rPr>
          <w:rFonts w:cs="Times New Roman"/>
          <w:lang w:val="en-US"/>
        </w:rPr>
        <w:t>5</w:t>
      </w:r>
      <w:r w:rsidR="006D09A3" w:rsidRPr="005662BF">
        <w:rPr>
          <w:rFonts w:cs="Times New Roman"/>
          <w:lang w:val="en-US"/>
        </w:rPr>
        <w:t xml:space="preserve"> </w:t>
      </w:r>
      <w:r w:rsidR="00001131" w:rsidRPr="005662BF">
        <w:rPr>
          <w:rFonts w:cs="Times New Roman"/>
          <w:lang w:val="en-US"/>
        </w:rPr>
        <w:t>was</w:t>
      </w:r>
      <w:r w:rsidR="006D09A3" w:rsidRPr="005662BF">
        <w:rPr>
          <w:rFonts w:cs="Times New Roman"/>
          <w:lang w:val="en-US"/>
        </w:rPr>
        <w:t xml:space="preserve"> </w:t>
      </w:r>
      <w:r w:rsidR="001B2FA2" w:rsidRPr="005662BF">
        <w:rPr>
          <w:rFonts w:cs="Times New Roman"/>
          <w:lang w:val="en-US"/>
        </w:rPr>
        <w:t>0</w:t>
      </w:r>
      <w:r w:rsidR="006D09A3" w:rsidRPr="005662BF">
        <w:rPr>
          <w:rFonts w:cs="Times New Roman"/>
          <w:lang w:val="en-US"/>
        </w:rPr>
        <w:t>.</w:t>
      </w:r>
      <w:r w:rsidR="00D32791" w:rsidRPr="005662BF">
        <w:rPr>
          <w:rFonts w:cs="Times New Roman"/>
          <w:lang w:val="en-US"/>
        </w:rPr>
        <w:t>0</w:t>
      </w:r>
      <w:r w:rsidR="00D42561" w:rsidRPr="005662BF">
        <w:rPr>
          <w:rFonts w:cs="Times New Roman"/>
          <w:lang w:val="en-US"/>
        </w:rPr>
        <w:t>3</w:t>
      </w:r>
      <w:r w:rsidR="00B819FD" w:rsidRPr="005662BF">
        <w:rPr>
          <w:rFonts w:cs="Times New Roman"/>
          <w:lang w:val="en-US"/>
        </w:rPr>
        <w:t xml:space="preserve"> deaths per 100,000 population. </w:t>
      </w:r>
    </w:p>
    <w:p w14:paraId="6DE79A52" w14:textId="77777777" w:rsidR="00351211" w:rsidRPr="00351211" w:rsidRDefault="00351211" w:rsidP="00351211">
      <w:pPr>
        <w:rPr>
          <w:rFonts w:cs="Times New Roman"/>
          <w:b/>
          <w:color w:val="4F81BD"/>
          <w:sz w:val="24"/>
          <w:szCs w:val="24"/>
          <w:lang w:val="en-US"/>
        </w:rPr>
      </w:pPr>
      <w:r w:rsidRPr="00351211">
        <w:rPr>
          <w:rFonts w:cs="Times New Roman"/>
          <w:b/>
          <w:color w:val="4F81BD"/>
          <w:sz w:val="24"/>
          <w:szCs w:val="24"/>
          <w:lang w:val="en-US"/>
        </w:rPr>
        <w:t>Prevention and Control Measures for IMD</w:t>
      </w:r>
    </w:p>
    <w:p w14:paraId="69183446" w14:textId="77777777" w:rsidR="00351211" w:rsidRPr="005662BF" w:rsidRDefault="00351211" w:rsidP="00351211">
      <w:pPr>
        <w:jc w:val="both"/>
        <w:rPr>
          <w:rFonts w:cs="Times New Roman"/>
          <w:b/>
          <w:bCs/>
          <w:lang w:val="en-US"/>
        </w:rPr>
      </w:pPr>
      <w:r w:rsidRPr="005662BF">
        <w:rPr>
          <w:rFonts w:cs="Times New Roman"/>
          <w:b/>
          <w:bCs/>
          <w:lang w:val="en-US"/>
        </w:rPr>
        <w:t>A. Vaccination</w:t>
      </w:r>
    </w:p>
    <w:p w14:paraId="609A3E44" w14:textId="77777777" w:rsidR="00351211" w:rsidRPr="005662BF" w:rsidRDefault="00351211" w:rsidP="00351211">
      <w:pPr>
        <w:jc w:val="both"/>
        <w:rPr>
          <w:rFonts w:cs="Times New Roman"/>
          <w:lang w:val="en-US"/>
        </w:rPr>
      </w:pPr>
      <w:r w:rsidRPr="005662BF">
        <w:rPr>
          <w:rFonts w:cs="Times New Roman"/>
          <w:lang w:val="en-US"/>
        </w:rPr>
        <w:t>In Greece, the National Immunisation Programme includes a monovalent meningococcal vaccine against serogroup C, a quadrivalent conjugate vaccine covering serogroups A, C, W135 and Y, as well as a vaccine targeting serogroup B.</w:t>
      </w:r>
    </w:p>
    <w:p w14:paraId="592A92AD" w14:textId="77777777" w:rsidR="00351211" w:rsidRPr="005662BF" w:rsidRDefault="00351211" w:rsidP="00351211">
      <w:pPr>
        <w:jc w:val="both"/>
        <w:rPr>
          <w:rFonts w:cs="Times New Roman"/>
          <w:lang w:val="en-US"/>
        </w:rPr>
      </w:pPr>
      <w:r w:rsidRPr="005662BF">
        <w:rPr>
          <w:rFonts w:cs="Times New Roman"/>
          <w:lang w:val="en-US"/>
        </w:rPr>
        <w:t>The conjugate monovalent serogroup C vaccine (MCC) is administered as a single dose at 10 months of age. MCC vaccination has been shown to effectively control serogroup C disease in countries where systematic immunisation has been implemented, such as the United Kingdom.</w:t>
      </w:r>
    </w:p>
    <w:p w14:paraId="18591BCB" w14:textId="77777777" w:rsidR="00351211" w:rsidRPr="005662BF" w:rsidRDefault="00351211" w:rsidP="00351211">
      <w:pPr>
        <w:jc w:val="both"/>
        <w:rPr>
          <w:rFonts w:cs="Times New Roman"/>
          <w:lang w:val="en-US"/>
        </w:rPr>
      </w:pPr>
      <w:r w:rsidRPr="005662BF">
        <w:rPr>
          <w:rFonts w:cs="Times New Roman"/>
          <w:lang w:val="en-US"/>
        </w:rPr>
        <w:t>The quadrivalent conjugate meningococcal vaccine (MCV4), covering serogroups A, C, W135 and Y, is recommended at 11–12 years of age (with catch</w:t>
      </w:r>
      <w:r w:rsidRPr="005662BF">
        <w:rPr>
          <w:rFonts w:ascii="Cambria Math" w:hAnsi="Cambria Math" w:cs="Cambria Math"/>
          <w:lang w:val="en-US"/>
        </w:rPr>
        <w:t>‑</w:t>
      </w:r>
      <w:r w:rsidRPr="005662BF">
        <w:rPr>
          <w:rFonts w:cs="Times New Roman"/>
          <w:lang w:val="en-US"/>
        </w:rPr>
        <w:t xml:space="preserve">up vaccination up to 18 years), regardless of prior MCC vaccination. In addition, MCV4 is recommended for infants </w:t>
      </w:r>
      <w:r w:rsidRPr="005662BF">
        <w:rPr>
          <w:rFonts w:ascii="Calibri" w:hAnsi="Calibri" w:cs="Calibri"/>
          <w:lang w:val="en-US"/>
        </w:rPr>
        <w:t>≥</w:t>
      </w:r>
      <w:r w:rsidRPr="005662BF">
        <w:rPr>
          <w:rFonts w:cs="Times New Roman"/>
          <w:lang w:val="en-US"/>
        </w:rPr>
        <w:t>2 months, children and adolescents belonging to high</w:t>
      </w:r>
      <w:r w:rsidRPr="005662BF">
        <w:rPr>
          <w:rFonts w:ascii="Cambria Math" w:hAnsi="Cambria Math" w:cs="Cambria Math"/>
          <w:lang w:val="en-US"/>
        </w:rPr>
        <w:t>‑</w:t>
      </w:r>
      <w:r w:rsidRPr="005662BF">
        <w:rPr>
          <w:rFonts w:cs="Times New Roman"/>
          <w:lang w:val="en-US"/>
        </w:rPr>
        <w:t>risk groups, with the vaccination schedule adapted to the age at diagnosis and initiation of vaccination. If MCC has been administered previously, the first dose of MCV4 should be given at least one month later.</w:t>
      </w:r>
    </w:p>
    <w:p w14:paraId="2D8BF425" w14:textId="4D429A23" w:rsidR="00351211" w:rsidRPr="005662BF" w:rsidRDefault="00F93400" w:rsidP="00351211">
      <w:pPr>
        <w:jc w:val="both"/>
        <w:rPr>
          <w:rFonts w:cs="Times New Roman"/>
          <w:lang w:val="en-US"/>
        </w:rPr>
      </w:pPr>
      <w:r w:rsidRPr="005662BF">
        <w:rPr>
          <w:rFonts w:cs="Times New Roman"/>
          <w:lang w:val="en-US"/>
        </w:rPr>
        <w:t>A protein</w:t>
      </w:r>
      <w:r w:rsidRPr="005662BF">
        <w:rPr>
          <w:rFonts w:ascii="Cambria Math" w:hAnsi="Cambria Math" w:cs="Cambria Math"/>
          <w:lang w:val="en-US"/>
        </w:rPr>
        <w:t>‑</w:t>
      </w:r>
      <w:r w:rsidRPr="005662BF">
        <w:rPr>
          <w:rFonts w:cs="Times New Roman"/>
          <w:lang w:val="en-US"/>
        </w:rPr>
        <w:t>based vaccine against serogroup B is also available in Greece (MenB</w:t>
      </w:r>
      <w:r w:rsidRPr="005662BF">
        <w:rPr>
          <w:rFonts w:ascii="Cambria Math" w:hAnsi="Cambria Math" w:cs="Cambria Math"/>
          <w:lang w:val="en-US"/>
        </w:rPr>
        <w:t>‑</w:t>
      </w:r>
      <w:r w:rsidRPr="005662BF">
        <w:rPr>
          <w:rFonts w:cs="Times New Roman"/>
          <w:lang w:val="en-US"/>
        </w:rPr>
        <w:t>4C, with a minimum age of administration at 6 weeks, or MenB</w:t>
      </w:r>
      <w:r w:rsidRPr="005662BF">
        <w:rPr>
          <w:rFonts w:ascii="Cambria Math" w:hAnsi="Cambria Math" w:cs="Cambria Math"/>
          <w:lang w:val="en-US"/>
        </w:rPr>
        <w:t>‑</w:t>
      </w:r>
      <w:r w:rsidRPr="005662BF">
        <w:rPr>
          <w:rFonts w:cs="Times New Roman"/>
          <w:lang w:val="en-US"/>
        </w:rPr>
        <w:t>fHbp, with a minimum age of 10 years). MenB</w:t>
      </w:r>
      <w:r w:rsidRPr="005662BF">
        <w:rPr>
          <w:rFonts w:ascii="Cambria Math" w:hAnsi="Cambria Math" w:cs="Cambria Math"/>
          <w:lang w:val="en-US"/>
        </w:rPr>
        <w:t>‑</w:t>
      </w:r>
      <w:r w:rsidRPr="005662BF">
        <w:rPr>
          <w:rFonts w:cs="Times New Roman"/>
          <w:lang w:val="en-US"/>
        </w:rPr>
        <w:t>4C is administered to healthy infants in two doses at 2 and 4 months of age, followed by a booster at 12</w:t>
      </w:r>
      <w:r w:rsidRPr="005662BF">
        <w:rPr>
          <w:rFonts w:ascii="Calibri" w:hAnsi="Calibri" w:cs="Calibri"/>
          <w:lang w:val="en-US"/>
        </w:rPr>
        <w:t>–</w:t>
      </w:r>
      <w:r w:rsidRPr="005662BF">
        <w:rPr>
          <w:rFonts w:cs="Times New Roman"/>
          <w:lang w:val="en-US"/>
        </w:rPr>
        <w:t>15 months. Given the epidemiology of the disease, the first dose in healthy infants should be administered immediately after completing 2 months of age and no later than 6 months; the second dose should be given by 12 months, and the booster by 18 months. MenB vaccination is also recommended for infants from 2 months of age and for children up to 18 years who belong to high</w:t>
      </w:r>
      <w:r w:rsidRPr="005662BF">
        <w:rPr>
          <w:rFonts w:ascii="Cambria Math" w:hAnsi="Cambria Math" w:cs="Cambria Math"/>
          <w:lang w:val="en-US"/>
        </w:rPr>
        <w:t>‑</w:t>
      </w:r>
      <w:r w:rsidRPr="005662BF">
        <w:rPr>
          <w:rFonts w:cs="Times New Roman"/>
          <w:lang w:val="en-US"/>
        </w:rPr>
        <w:t>risk groups, with the schedule adjusted according to the age at initiation.</w:t>
      </w:r>
    </w:p>
    <w:p w14:paraId="11CA02D4" w14:textId="77777777" w:rsidR="00F93400" w:rsidRPr="005662BF" w:rsidRDefault="00F93400" w:rsidP="00F93400">
      <w:pPr>
        <w:jc w:val="both"/>
        <w:rPr>
          <w:rFonts w:cs="Times New Roman"/>
          <w:b/>
          <w:bCs/>
          <w:lang w:val="en-US"/>
        </w:rPr>
      </w:pPr>
      <w:r w:rsidRPr="005662BF">
        <w:rPr>
          <w:rFonts w:cs="Times New Roman"/>
          <w:b/>
          <w:bCs/>
          <w:lang w:val="en-US"/>
        </w:rPr>
        <w:t>B. Administration of Chemoprophylaxis to Close Contacts</w:t>
      </w:r>
    </w:p>
    <w:p w14:paraId="670CC56A" w14:textId="235844D7" w:rsidR="00606A29" w:rsidRPr="005662BF" w:rsidRDefault="00F93400" w:rsidP="00606A29">
      <w:pPr>
        <w:jc w:val="both"/>
        <w:rPr>
          <w:rFonts w:cs="Times New Roman"/>
          <w:lang w:val="en-US"/>
        </w:rPr>
      </w:pPr>
      <w:r w:rsidRPr="005662BF">
        <w:rPr>
          <w:rFonts w:cs="Times New Roman"/>
          <w:lang w:val="en-US"/>
        </w:rPr>
        <w:t>Chemoprophylaxis should be administered as soon as possible to all individuals who had close contact with a confirmed case of IMD within the 7 days preceding the onset of symptoms, provided no medical contraindications exist (for the definition of close contacts, see:</w:t>
      </w:r>
      <w:r w:rsidRPr="005662BF">
        <w:rPr>
          <w:rFonts w:cs="Times New Roman"/>
          <w:lang w:val="en-US"/>
        </w:rPr>
        <w:tab/>
        <w:t xml:space="preserve"> </w:t>
      </w:r>
      <w:hyperlink r:id="rId12" w:history="1">
        <w:r w:rsidRPr="005662BF">
          <w:rPr>
            <w:rStyle w:val="Hyperlink"/>
            <w:rFonts w:cs="Times New Roman"/>
            <w:lang w:val="en-US"/>
          </w:rPr>
          <w:t>https://eody.gov.gr/el/nosimata/metadotika/nosimata-kai-themata-ygeias/meningitida-bakteriake.html?me=m3</w:t>
        </w:r>
      </w:hyperlink>
      <w:r w:rsidRPr="005662BF">
        <w:rPr>
          <w:rFonts w:cs="Times New Roman"/>
          <w:lang w:val="en-US"/>
        </w:rPr>
        <w:t xml:space="preserve"> ).</w:t>
      </w:r>
      <w:r w:rsidR="00606A29" w:rsidRPr="005662BF">
        <w:rPr>
          <w:rFonts w:cs="Times New Roman"/>
          <w:lang w:val="en-US"/>
        </w:rPr>
        <w:t xml:space="preserve"> </w:t>
      </w:r>
      <w:r w:rsidRPr="005662BF">
        <w:rPr>
          <w:rFonts w:cs="Times New Roman"/>
          <w:lang w:val="en-US"/>
        </w:rPr>
        <w:t xml:space="preserve">Ideally, chemoprophylaxis should be given within the first 24 hours after the identification of the index case, as the risk of secondary disease among close contacts is highest during the first days following symptom onset in the </w:t>
      </w:r>
      <w:r w:rsidR="00FB4693" w:rsidRPr="005662BF">
        <w:rPr>
          <w:rFonts w:cs="Times New Roman"/>
          <w:lang w:val="en-US"/>
        </w:rPr>
        <w:t>index</w:t>
      </w:r>
      <w:r w:rsidRPr="005662BF">
        <w:rPr>
          <w:rFonts w:cs="Times New Roman"/>
          <w:lang w:val="en-US"/>
        </w:rPr>
        <w:t xml:space="preserve"> case</w:t>
      </w:r>
      <w:r w:rsidR="00214346" w:rsidRPr="005662BF">
        <w:rPr>
          <w:rFonts w:cs="Times New Roman"/>
          <w:lang w:val="en-US"/>
        </w:rPr>
        <w:t xml:space="preserve"> [</w:t>
      </w:r>
      <w:r w:rsidR="00214346" w:rsidRPr="005662BF">
        <w:rPr>
          <w:rFonts w:cs="Times New Roman"/>
          <w:color w:val="0000FF"/>
          <w:lang w:val="en-US"/>
        </w:rPr>
        <w:t>2,7</w:t>
      </w:r>
      <w:r w:rsidR="00214346" w:rsidRPr="005662BF">
        <w:rPr>
          <w:rFonts w:cs="Times New Roman"/>
          <w:lang w:val="en-US"/>
        </w:rPr>
        <w:t>]</w:t>
      </w:r>
      <w:r w:rsidRPr="005662BF">
        <w:rPr>
          <w:rFonts w:cs="Times New Roman"/>
          <w:lang w:val="en-US"/>
        </w:rPr>
        <w:t>.</w:t>
      </w:r>
      <w:r w:rsidR="00606A29" w:rsidRPr="005662BF">
        <w:rPr>
          <w:rFonts w:cs="Times New Roman"/>
          <w:lang w:val="en-US"/>
        </w:rPr>
        <w:t xml:space="preserve"> </w:t>
      </w:r>
      <w:r w:rsidRPr="005662BF">
        <w:rPr>
          <w:rFonts w:cs="Times New Roman"/>
          <w:lang w:val="en-US"/>
        </w:rPr>
        <w:t>Chemoprophylaxis is not considered useful if more than 10 days have passed since the last exposure to the case</w:t>
      </w:r>
      <w:r w:rsidR="00214346" w:rsidRPr="005662BF">
        <w:rPr>
          <w:rFonts w:cs="Times New Roman"/>
          <w:lang w:val="en-US"/>
        </w:rPr>
        <w:t xml:space="preserve"> [</w:t>
      </w:r>
      <w:r w:rsidR="00214346" w:rsidRPr="005662BF">
        <w:rPr>
          <w:rFonts w:cs="Times New Roman"/>
          <w:color w:val="0000FF"/>
          <w:lang w:val="en-US"/>
        </w:rPr>
        <w:t>3</w:t>
      </w:r>
      <w:r w:rsidR="00214346" w:rsidRPr="005662BF">
        <w:rPr>
          <w:rFonts w:cs="Times New Roman"/>
          <w:lang w:val="en-US"/>
        </w:rPr>
        <w:t>]</w:t>
      </w:r>
      <w:r w:rsidRPr="005662BF">
        <w:rPr>
          <w:rFonts w:cs="Times New Roman"/>
          <w:lang w:val="en-US"/>
        </w:rPr>
        <w:t xml:space="preserve">. </w:t>
      </w:r>
    </w:p>
    <w:p w14:paraId="3339DFF9" w14:textId="105120C3" w:rsidR="00F93400" w:rsidRPr="005662BF" w:rsidRDefault="00F93400" w:rsidP="00606A29">
      <w:pPr>
        <w:jc w:val="both"/>
        <w:rPr>
          <w:rFonts w:cs="Times New Roman"/>
          <w:lang w:val="en-US"/>
        </w:rPr>
      </w:pPr>
      <w:r w:rsidRPr="005662BF">
        <w:rPr>
          <w:rFonts w:cs="Times New Roman"/>
          <w:lang w:val="en-US"/>
        </w:rPr>
        <w:t>Rifampicin is the drug of choice, administered twice daily for two days</w:t>
      </w:r>
      <w:r w:rsidR="00214346" w:rsidRPr="005662BF">
        <w:rPr>
          <w:rFonts w:cs="Times New Roman"/>
          <w:lang w:val="en-US"/>
        </w:rPr>
        <w:t xml:space="preserve"> [</w:t>
      </w:r>
      <w:r w:rsidR="00214346" w:rsidRPr="005662BF">
        <w:rPr>
          <w:rFonts w:cs="Times New Roman"/>
          <w:color w:val="0000FF"/>
          <w:lang w:val="en-US"/>
        </w:rPr>
        <w:t>3</w:t>
      </w:r>
      <w:r w:rsidR="00214346" w:rsidRPr="005662BF">
        <w:rPr>
          <w:rFonts w:cs="Times New Roman"/>
          <w:lang w:val="en-US"/>
        </w:rPr>
        <w:t>]</w:t>
      </w:r>
      <w:r w:rsidRPr="005662BF">
        <w:rPr>
          <w:rFonts w:cs="Times New Roman"/>
          <w:lang w:val="en-US"/>
        </w:rPr>
        <w:t xml:space="preserve">. Alternative options include a single intramuscular dose of ceftriaxone or a single oral dose of ciprofloxacin in adults. These antibiotics effectively reduce nasopharyngeal carriage and achieve eradication of </w:t>
      </w:r>
      <w:r w:rsidRPr="005662BF">
        <w:rPr>
          <w:rFonts w:cs="Times New Roman"/>
          <w:i/>
          <w:iCs/>
          <w:lang w:val="en-US"/>
        </w:rPr>
        <w:t>Neisseria meningitidis</w:t>
      </w:r>
      <w:r w:rsidRPr="005662BF">
        <w:rPr>
          <w:rFonts w:cs="Times New Roman"/>
          <w:lang w:val="en-US"/>
        </w:rPr>
        <w:t xml:space="preserve"> in approximately 90–95%</w:t>
      </w:r>
      <w:r w:rsidR="00214346" w:rsidRPr="005662BF">
        <w:rPr>
          <w:rFonts w:cs="Times New Roman"/>
          <w:lang w:val="en-US"/>
        </w:rPr>
        <w:t xml:space="preserve"> [</w:t>
      </w:r>
      <w:r w:rsidR="00214346" w:rsidRPr="005662BF">
        <w:rPr>
          <w:rFonts w:cs="Times New Roman"/>
          <w:color w:val="0000FF"/>
          <w:lang w:val="en-US"/>
        </w:rPr>
        <w:t>2</w:t>
      </w:r>
      <w:r w:rsidR="002F4660" w:rsidRPr="005662BF">
        <w:rPr>
          <w:rFonts w:cs="Times New Roman"/>
          <w:color w:val="0000FF"/>
          <w:lang w:val="en-US"/>
        </w:rPr>
        <w:t>,7</w:t>
      </w:r>
      <w:r w:rsidR="00214346" w:rsidRPr="005662BF">
        <w:rPr>
          <w:rFonts w:cs="Times New Roman"/>
          <w:lang w:val="en-US"/>
        </w:rPr>
        <w:t>]</w:t>
      </w:r>
      <w:r w:rsidRPr="005662BF">
        <w:rPr>
          <w:rFonts w:cs="Times New Roman"/>
          <w:lang w:val="en-US"/>
        </w:rPr>
        <w:t>.</w:t>
      </w:r>
    </w:p>
    <w:p w14:paraId="4E52305E" w14:textId="10A9E7F3" w:rsidR="00F93400" w:rsidRPr="00F93400" w:rsidRDefault="00F93400" w:rsidP="00F93400">
      <w:pPr>
        <w:rPr>
          <w:rFonts w:cs="Times New Roman"/>
          <w:b/>
          <w:color w:val="4F81BD"/>
          <w:sz w:val="24"/>
          <w:szCs w:val="24"/>
          <w:lang w:val="en-US"/>
        </w:rPr>
      </w:pPr>
      <w:r w:rsidRPr="00F93400">
        <w:rPr>
          <w:rFonts w:cs="Times New Roman"/>
          <w:b/>
          <w:color w:val="4F81BD"/>
          <w:sz w:val="24"/>
          <w:szCs w:val="24"/>
          <w:lang w:val="en-US"/>
        </w:rPr>
        <w:lastRenderedPageBreak/>
        <w:t>Conclusion</w:t>
      </w:r>
    </w:p>
    <w:p w14:paraId="286E4741" w14:textId="1DB9D70B" w:rsidR="00F93400" w:rsidRPr="005662BF" w:rsidRDefault="00F93400" w:rsidP="0038459E">
      <w:pPr>
        <w:jc w:val="both"/>
        <w:rPr>
          <w:rFonts w:ascii="Calibri" w:hAnsi="Calibri" w:cs="Calibri"/>
          <w:lang w:val="en-US"/>
        </w:rPr>
      </w:pPr>
      <w:r w:rsidRPr="005662BF">
        <w:rPr>
          <w:rFonts w:ascii="Calibri" w:hAnsi="Calibri" w:cs="Calibri"/>
          <w:lang w:val="en-US"/>
        </w:rPr>
        <w:t>IMD remains rare both in Greece and in EU/EEA countries; however, it continues to be a severe and life</w:t>
      </w:r>
      <w:r w:rsidRPr="005662BF">
        <w:rPr>
          <w:rFonts w:ascii="Cambria Math" w:hAnsi="Cambria Math" w:cs="Cambria Math"/>
          <w:lang w:val="en-US"/>
        </w:rPr>
        <w:t>‑</w:t>
      </w:r>
      <w:r w:rsidRPr="005662BF">
        <w:rPr>
          <w:rFonts w:ascii="Calibri" w:hAnsi="Calibri" w:cs="Calibri"/>
          <w:lang w:val="en-US"/>
        </w:rPr>
        <w:t>threatening condition across all age groups. Compared with the pandemic period—during which the lowest reported incidence was recorded—there has been an increase in notified cases from 2023 onwards, with the notification rate returning to the low pre</w:t>
      </w:r>
      <w:r w:rsidRPr="005662BF">
        <w:rPr>
          <w:rFonts w:ascii="Cambria Math" w:hAnsi="Cambria Math" w:cs="Cambria Math"/>
          <w:lang w:val="en-US"/>
        </w:rPr>
        <w:t>‑</w:t>
      </w:r>
      <w:r w:rsidRPr="005662BF">
        <w:rPr>
          <w:rFonts w:ascii="Calibri" w:hAnsi="Calibri" w:cs="Calibri"/>
          <w:lang w:val="en-US"/>
        </w:rPr>
        <w:t>pandemic levels.</w:t>
      </w:r>
    </w:p>
    <w:p w14:paraId="3B1E3148" w14:textId="697C8A56" w:rsidR="00510F6C" w:rsidRPr="005662BF" w:rsidRDefault="00F93400" w:rsidP="0038459E">
      <w:pPr>
        <w:jc w:val="both"/>
        <w:rPr>
          <w:rFonts w:ascii="Calibri" w:hAnsi="Calibri" w:cs="Calibri"/>
          <w:lang w:val="en-US"/>
        </w:rPr>
      </w:pPr>
      <w:r w:rsidRPr="005662BF">
        <w:rPr>
          <w:rFonts w:ascii="Calibri" w:hAnsi="Calibri" w:cs="Calibri"/>
          <w:lang w:val="en-US"/>
        </w:rPr>
        <w:t>Serogroup B has consistently accounted for the majority of IMD cases in Greece, a pattern that mirrors surveillance findings across EU/EEA Member States. Cases caused by serogroup C—the second most frequent serogroup historically—remain particularly low, especially following the introduction of routine vaccination against this serogroup in Greece. It is also noteworthy that cases due to serogroups W135 and Y remain infrequent, in contrast to the increasing trends observed in some European countries. This difference may reflect the timely introduction of the quadrivalent meningococcal vaccine into the national immunisation programme.</w:t>
      </w:r>
    </w:p>
    <w:p w14:paraId="37A64647" w14:textId="77777777" w:rsidR="0062419E" w:rsidRPr="00314076" w:rsidRDefault="0062419E" w:rsidP="0062419E">
      <w:pPr>
        <w:spacing w:after="0" w:line="240" w:lineRule="auto"/>
        <w:jc w:val="both"/>
        <w:rPr>
          <w:sz w:val="24"/>
          <w:szCs w:val="24"/>
          <w:lang w:val="en-GB"/>
        </w:rPr>
      </w:pPr>
    </w:p>
    <w:p w14:paraId="00E2DBE7" w14:textId="77777777" w:rsidR="0062419E" w:rsidRPr="00314076" w:rsidRDefault="0062419E" w:rsidP="0062419E">
      <w:pPr>
        <w:spacing w:after="0" w:line="240" w:lineRule="auto"/>
        <w:jc w:val="both"/>
        <w:rPr>
          <w:rFonts w:cs="Arial"/>
          <w:sz w:val="24"/>
          <w:szCs w:val="24"/>
          <w:lang w:val="en-GB"/>
        </w:rPr>
      </w:pPr>
    </w:p>
    <w:p w14:paraId="39198638" w14:textId="15233345" w:rsidR="00435AB9" w:rsidRPr="003707A7" w:rsidRDefault="00435AB9" w:rsidP="00435AB9">
      <w:pPr>
        <w:jc w:val="right"/>
        <w:rPr>
          <w:lang w:val="en-US"/>
        </w:rPr>
      </w:pPr>
      <w:r w:rsidRPr="009B146B">
        <w:rPr>
          <w:rFonts w:ascii="Verdana" w:hAnsi="Verdana" w:cs="Verdana"/>
          <w:i/>
          <w:iCs/>
          <w:sz w:val="20"/>
          <w:szCs w:val="20"/>
          <w:lang w:val="en-US"/>
        </w:rPr>
        <w:t>Last update</w:t>
      </w:r>
      <w:r w:rsidR="00853F99">
        <w:rPr>
          <w:rFonts w:ascii="Verdana" w:hAnsi="Verdana" w:cs="Verdana"/>
          <w:i/>
          <w:iCs/>
          <w:sz w:val="20"/>
          <w:szCs w:val="20"/>
          <w:lang w:val="en-US"/>
        </w:rPr>
        <w:t xml:space="preserve"> </w:t>
      </w:r>
      <w:r w:rsidR="00EC3321">
        <w:rPr>
          <w:rFonts w:ascii="Verdana" w:hAnsi="Verdana" w:cs="Verdana"/>
          <w:i/>
          <w:iCs/>
          <w:sz w:val="20"/>
          <w:szCs w:val="20"/>
          <w:lang w:val="en-US"/>
        </w:rPr>
        <w:t>May</w:t>
      </w:r>
      <w:r w:rsidRPr="009B146B">
        <w:rPr>
          <w:rFonts w:ascii="Verdana" w:hAnsi="Verdana" w:cs="Verdana"/>
          <w:i/>
          <w:iCs/>
          <w:sz w:val="20"/>
          <w:szCs w:val="20"/>
          <w:lang w:val="en-US"/>
        </w:rPr>
        <w:t xml:space="preserve"> 202</w:t>
      </w:r>
      <w:r w:rsidR="00A271E4">
        <w:rPr>
          <w:rFonts w:ascii="Verdana" w:hAnsi="Verdana" w:cs="Verdana"/>
          <w:i/>
          <w:iCs/>
          <w:sz w:val="20"/>
          <w:szCs w:val="20"/>
          <w:lang w:val="en-US"/>
        </w:rPr>
        <w:t>6</w:t>
      </w:r>
    </w:p>
    <w:p w14:paraId="12114C09" w14:textId="72F19622" w:rsidR="00F47364" w:rsidRPr="00314076" w:rsidRDefault="00F47364" w:rsidP="00435AB9">
      <w:pPr>
        <w:pStyle w:val="Pa10"/>
        <w:jc w:val="right"/>
        <w:rPr>
          <w:rFonts w:asciiTheme="minorHAnsi" w:hAnsiTheme="minorHAnsi" w:cs="Arial"/>
          <w:iCs/>
          <w:color w:val="000000"/>
          <w:lang w:val="en-US"/>
        </w:rPr>
      </w:pPr>
    </w:p>
    <w:sectPr w:rsidR="00F47364" w:rsidRPr="00314076" w:rsidSect="002F4660">
      <w:footerReference w:type="default" r:id="rId13"/>
      <w:pgSz w:w="11906" w:h="16838"/>
      <w:pgMar w:top="993" w:right="992" w:bottom="1440" w:left="992" w:header="709"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9748C2" w14:textId="77777777" w:rsidR="00FB6A0E" w:rsidRDefault="00FB6A0E" w:rsidP="00740368">
      <w:pPr>
        <w:spacing w:after="0" w:line="240" w:lineRule="auto"/>
      </w:pPr>
      <w:r>
        <w:separator/>
      </w:r>
    </w:p>
  </w:endnote>
  <w:endnote w:type="continuationSeparator" w:id="0">
    <w:p w14:paraId="53E3BDC1" w14:textId="77777777" w:rsidR="00FB6A0E" w:rsidRDefault="00FB6A0E" w:rsidP="00740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B4C55" w14:textId="77777777" w:rsidR="00B316C2" w:rsidRPr="009B5886" w:rsidRDefault="00B316C2" w:rsidP="00740368">
    <w:pPr>
      <w:pStyle w:val="Footer"/>
      <w:ind w:right="357"/>
      <w:jc w:val="center"/>
      <w:rPr>
        <w:b/>
        <w:color w:val="FF0000"/>
        <w:sz w:val="18"/>
        <w:szCs w:val="18"/>
        <w:lang w:val="en-US"/>
      </w:rPr>
    </w:pPr>
    <w:r w:rsidRPr="004F2D70">
      <w:rPr>
        <w:b/>
        <w:color w:val="FF0000"/>
        <w:sz w:val="18"/>
        <w:szCs w:val="18"/>
        <w:lang w:val="en-US"/>
      </w:rPr>
      <w:t>NATIONAL PUBLIC HEALTH ORGANIZATION</w:t>
    </w:r>
    <w:r>
      <w:rPr>
        <w:b/>
        <w:color w:val="FF0000"/>
        <w:sz w:val="18"/>
        <w:szCs w:val="18"/>
        <w:lang w:val="en-US"/>
      </w:rPr>
      <w:t xml:space="preserve"> </w:t>
    </w:r>
    <w:r w:rsidRPr="004F2D70">
      <w:rPr>
        <w:b/>
        <w:color w:val="FF0000"/>
        <w:sz w:val="18"/>
        <w:szCs w:val="18"/>
        <w:lang w:val="en-US"/>
      </w:rPr>
      <w:t>(N</w:t>
    </w:r>
    <w:r>
      <w:rPr>
        <w:b/>
        <w:color w:val="FF0000"/>
        <w:sz w:val="18"/>
        <w:szCs w:val="18"/>
        <w:lang w:val="en-US"/>
      </w:rPr>
      <w:t>.P.H.</w:t>
    </w:r>
    <w:r w:rsidRPr="004F2D70">
      <w:rPr>
        <w:b/>
        <w:color w:val="FF0000"/>
        <w:sz w:val="18"/>
        <w:szCs w:val="18"/>
        <w:lang w:val="en-US"/>
      </w:rPr>
      <w:t>O)</w:t>
    </w:r>
  </w:p>
  <w:p w14:paraId="18C6DFAF" w14:textId="77777777" w:rsidR="005662BF" w:rsidRPr="0088483B" w:rsidRDefault="005662BF" w:rsidP="005662BF">
    <w:pPr>
      <w:pStyle w:val="Footer"/>
      <w:framePr w:w="166" w:h="421" w:hRule="exact" w:wrap="around" w:vAnchor="text" w:hAnchor="page" w:x="11296" w:y="1"/>
      <w:rPr>
        <w:rStyle w:val="PageNumber"/>
        <w:sz w:val="20"/>
        <w:szCs w:val="20"/>
        <w:lang w:val="en-US"/>
      </w:rPr>
    </w:pPr>
    <w:r w:rsidRPr="00F3023B">
      <w:rPr>
        <w:rStyle w:val="PageNumber"/>
        <w:sz w:val="20"/>
        <w:szCs w:val="20"/>
      </w:rPr>
      <w:fldChar w:fldCharType="begin"/>
    </w:r>
    <w:r w:rsidRPr="0088483B">
      <w:rPr>
        <w:rStyle w:val="PageNumber"/>
        <w:sz w:val="20"/>
        <w:szCs w:val="20"/>
        <w:lang w:val="en-US"/>
      </w:rPr>
      <w:instrText xml:space="preserve">PAGE  </w:instrText>
    </w:r>
    <w:r w:rsidRPr="00F3023B">
      <w:rPr>
        <w:rStyle w:val="PageNumber"/>
        <w:sz w:val="20"/>
        <w:szCs w:val="20"/>
      </w:rPr>
      <w:fldChar w:fldCharType="separate"/>
    </w:r>
    <w:r w:rsidRPr="0088483B">
      <w:rPr>
        <w:rStyle w:val="PageNumber"/>
        <w:sz w:val="20"/>
        <w:szCs w:val="20"/>
        <w:lang w:val="en-US"/>
      </w:rPr>
      <w:t>6</w:t>
    </w:r>
    <w:r w:rsidRPr="00F3023B">
      <w:rPr>
        <w:rStyle w:val="PageNumber"/>
        <w:sz w:val="20"/>
        <w:szCs w:val="20"/>
      </w:rPr>
      <w:fldChar w:fldCharType="end"/>
    </w:r>
  </w:p>
  <w:p w14:paraId="58BC5A47" w14:textId="4030BD1B" w:rsidR="00B316C2" w:rsidRDefault="00B316C2" w:rsidP="00740368">
    <w:pPr>
      <w:pStyle w:val="Footer"/>
      <w:ind w:right="357"/>
      <w:jc w:val="center"/>
      <w:rPr>
        <w:b/>
        <w:sz w:val="16"/>
        <w:szCs w:val="16"/>
        <w:lang w:val="en-US"/>
      </w:rPr>
    </w:pPr>
    <w:r>
      <w:rPr>
        <w:b/>
        <w:sz w:val="16"/>
        <w:szCs w:val="16"/>
        <w:lang w:val="en-US"/>
      </w:rPr>
      <w:t xml:space="preserve">Directorate of Epidemiological Surveillance </w:t>
    </w:r>
    <w:r w:rsidR="00E54D92">
      <w:rPr>
        <w:b/>
        <w:sz w:val="16"/>
        <w:szCs w:val="16"/>
        <w:lang w:val="en-US"/>
      </w:rPr>
      <w:t>&amp; Prevention of Communicable Diseases</w:t>
    </w:r>
    <w:r>
      <w:rPr>
        <w:b/>
        <w:sz w:val="16"/>
        <w:szCs w:val="16"/>
        <w:lang w:val="en-US"/>
      </w:rPr>
      <w:t xml:space="preserve"> </w:t>
    </w:r>
  </w:p>
  <w:p w14:paraId="4CE04A4E" w14:textId="77777777" w:rsidR="00CE3477" w:rsidRDefault="00B316C2" w:rsidP="00740368">
    <w:pPr>
      <w:pStyle w:val="Footer"/>
      <w:ind w:right="357"/>
      <w:jc w:val="center"/>
      <w:rPr>
        <w:b/>
        <w:sz w:val="16"/>
        <w:szCs w:val="16"/>
        <w:lang w:val="en-US"/>
      </w:rPr>
    </w:pPr>
    <w:r>
      <w:rPr>
        <w:b/>
        <w:sz w:val="16"/>
        <w:szCs w:val="16"/>
        <w:lang w:val="en-US"/>
      </w:rPr>
      <w:t>Department of Vaccine</w:t>
    </w:r>
    <w:r w:rsidRPr="009B5886">
      <w:rPr>
        <w:b/>
        <w:sz w:val="16"/>
        <w:szCs w:val="16"/>
        <w:lang w:val="en-US"/>
      </w:rPr>
      <w:t xml:space="preserve"> </w:t>
    </w:r>
    <w:r>
      <w:rPr>
        <w:b/>
        <w:sz w:val="16"/>
        <w:szCs w:val="16"/>
        <w:lang w:val="en-US"/>
      </w:rPr>
      <w:t xml:space="preserve">Preventable </w:t>
    </w:r>
    <w:r w:rsidR="00CE3477">
      <w:rPr>
        <w:b/>
        <w:sz w:val="16"/>
        <w:szCs w:val="16"/>
        <w:lang w:val="en-US"/>
      </w:rPr>
      <w:t>and</w:t>
    </w:r>
    <w:r w:rsidR="00CE3477" w:rsidRPr="009B5886">
      <w:rPr>
        <w:b/>
        <w:sz w:val="16"/>
        <w:szCs w:val="16"/>
        <w:lang w:val="en-US"/>
      </w:rPr>
      <w:t xml:space="preserve"> </w:t>
    </w:r>
    <w:r w:rsidR="00CE3477">
      <w:rPr>
        <w:b/>
        <w:sz w:val="16"/>
        <w:szCs w:val="16"/>
        <w:lang w:val="en-US"/>
      </w:rPr>
      <w:t>Congenital</w:t>
    </w:r>
    <w:r w:rsidR="00CE3477" w:rsidRPr="009B5886">
      <w:rPr>
        <w:b/>
        <w:sz w:val="16"/>
        <w:szCs w:val="16"/>
        <w:lang w:val="en-US"/>
      </w:rPr>
      <w:t xml:space="preserve"> </w:t>
    </w:r>
    <w:r>
      <w:rPr>
        <w:b/>
        <w:sz w:val="16"/>
        <w:szCs w:val="16"/>
        <w:lang w:val="en-US"/>
      </w:rPr>
      <w:t xml:space="preserve">Diseases </w:t>
    </w:r>
  </w:p>
  <w:p w14:paraId="538F7D7C" w14:textId="58CE38BD" w:rsidR="00B316C2" w:rsidRPr="009B5886" w:rsidRDefault="00B316C2" w:rsidP="00740368">
    <w:pPr>
      <w:pStyle w:val="Footer"/>
      <w:ind w:right="357"/>
      <w:jc w:val="center"/>
      <w:rPr>
        <w:sz w:val="16"/>
        <w:szCs w:val="16"/>
        <w:lang w:val="en-US"/>
      </w:rPr>
    </w:pPr>
    <w:r w:rsidRPr="003514D3">
      <w:rPr>
        <w:b/>
        <w:bCs/>
        <w:sz w:val="16"/>
        <w:szCs w:val="16"/>
        <w:lang w:val="en-US"/>
      </w:rPr>
      <w:t>Tel.:</w:t>
    </w:r>
    <w:r w:rsidRPr="009B5886">
      <w:rPr>
        <w:sz w:val="16"/>
        <w:szCs w:val="16"/>
        <w:lang w:val="en-US"/>
      </w:rPr>
      <w:t xml:space="preserve"> </w:t>
    </w:r>
    <w:r w:rsidR="006406F5" w:rsidRPr="005E73C0">
      <w:rPr>
        <w:b/>
        <w:sz w:val="16"/>
        <w:szCs w:val="16"/>
      </w:rPr>
      <w:t xml:space="preserve">210 </w:t>
    </w:r>
    <w:r w:rsidR="006406F5">
      <w:rPr>
        <w:b/>
        <w:sz w:val="16"/>
        <w:szCs w:val="16"/>
      </w:rPr>
      <w:t>5212</w:t>
    </w:r>
    <w:r w:rsidR="006406F5" w:rsidRPr="005E73C0">
      <w:rPr>
        <w:b/>
        <w:sz w:val="16"/>
        <w:szCs w:val="16"/>
      </w:rPr>
      <w:t xml:space="preserve"> </w:t>
    </w:r>
    <w:r w:rsidR="006406F5">
      <w:rPr>
        <w:b/>
        <w:sz w:val="16"/>
        <w:szCs w:val="16"/>
      </w:rPr>
      <w:t>388</w:t>
    </w:r>
    <w:r w:rsidR="006406F5" w:rsidRPr="005E73C0">
      <w:rPr>
        <w:sz w:val="16"/>
        <w:szCs w:val="16"/>
      </w:rPr>
      <w:t xml:space="preserve">, </w:t>
    </w:r>
    <w:r w:rsidR="006406F5">
      <w:rPr>
        <w:b/>
        <w:sz w:val="16"/>
        <w:szCs w:val="16"/>
      </w:rPr>
      <w:t>210 5212 372</w:t>
    </w:r>
  </w:p>
  <w:p w14:paraId="42CDCE25" w14:textId="77777777" w:rsidR="00B316C2" w:rsidRDefault="00B31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58589" w14:textId="77777777" w:rsidR="00FB6A0E" w:rsidRDefault="00FB6A0E" w:rsidP="00740368">
      <w:pPr>
        <w:spacing w:after="0" w:line="240" w:lineRule="auto"/>
      </w:pPr>
      <w:r>
        <w:separator/>
      </w:r>
    </w:p>
  </w:footnote>
  <w:footnote w:type="continuationSeparator" w:id="0">
    <w:p w14:paraId="2779E7C8" w14:textId="77777777" w:rsidR="00FB6A0E" w:rsidRDefault="00FB6A0E" w:rsidP="007403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8CB"/>
    <w:multiLevelType w:val="hybridMultilevel"/>
    <w:tmpl w:val="4F12B36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2A937C75"/>
    <w:multiLevelType w:val="hybridMultilevel"/>
    <w:tmpl w:val="A15A67F8"/>
    <w:lvl w:ilvl="0" w:tplc="1ECCD8D6">
      <w:start w:val="1"/>
      <w:numFmt w:val="decimal"/>
      <w:lvlText w:val="%1."/>
      <w:lvlJc w:val="left"/>
      <w:pPr>
        <w:tabs>
          <w:tab w:val="num" w:pos="786"/>
        </w:tabs>
        <w:ind w:left="786" w:hanging="360"/>
      </w:pPr>
      <w:rPr>
        <w:rFonts w:ascii="Times New Roman" w:hAnsi="Times New Roman" w:cs="Times New Roman" w:hint="default"/>
        <w:sz w:val="24"/>
        <w:szCs w:val="24"/>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32442905"/>
    <w:multiLevelType w:val="hybridMultilevel"/>
    <w:tmpl w:val="BD5E400C"/>
    <w:lvl w:ilvl="0" w:tplc="04080015">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3F1A0604"/>
    <w:multiLevelType w:val="hybridMultilevel"/>
    <w:tmpl w:val="01324BD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423E024D"/>
    <w:multiLevelType w:val="hybridMultilevel"/>
    <w:tmpl w:val="83606B3A"/>
    <w:lvl w:ilvl="0" w:tplc="282A1978">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6A8129D6"/>
    <w:multiLevelType w:val="hybridMultilevel"/>
    <w:tmpl w:val="048A95BA"/>
    <w:lvl w:ilvl="0" w:tplc="6B32FFF8">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634874314">
    <w:abstractNumId w:val="2"/>
  </w:num>
  <w:num w:numId="2" w16cid:durableId="678850292">
    <w:abstractNumId w:val="4"/>
  </w:num>
  <w:num w:numId="3" w16cid:durableId="1062289910">
    <w:abstractNumId w:val="3"/>
  </w:num>
  <w:num w:numId="4" w16cid:durableId="1211527946">
    <w:abstractNumId w:val="5"/>
  </w:num>
  <w:num w:numId="5" w16cid:durableId="1856116513">
    <w:abstractNumId w:val="1"/>
  </w:num>
  <w:num w:numId="6" w16cid:durableId="1782728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434"/>
    <w:rsid w:val="00001131"/>
    <w:rsid w:val="000012D4"/>
    <w:rsid w:val="00006877"/>
    <w:rsid w:val="00010BDA"/>
    <w:rsid w:val="0002093E"/>
    <w:rsid w:val="00021F0C"/>
    <w:rsid w:val="00023C4B"/>
    <w:rsid w:val="000278FA"/>
    <w:rsid w:val="00030A53"/>
    <w:rsid w:val="0003787F"/>
    <w:rsid w:val="00046903"/>
    <w:rsid w:val="000569C3"/>
    <w:rsid w:val="00080907"/>
    <w:rsid w:val="00083261"/>
    <w:rsid w:val="00096D6D"/>
    <w:rsid w:val="000A1771"/>
    <w:rsid w:val="000D1984"/>
    <w:rsid w:val="000D748D"/>
    <w:rsid w:val="000D786C"/>
    <w:rsid w:val="000E0E8A"/>
    <w:rsid w:val="000F4044"/>
    <w:rsid w:val="000F642C"/>
    <w:rsid w:val="00101964"/>
    <w:rsid w:val="00103990"/>
    <w:rsid w:val="001059E4"/>
    <w:rsid w:val="001068C6"/>
    <w:rsid w:val="0011252E"/>
    <w:rsid w:val="00115B28"/>
    <w:rsid w:val="00124BCA"/>
    <w:rsid w:val="00134593"/>
    <w:rsid w:val="00140B2A"/>
    <w:rsid w:val="001413EA"/>
    <w:rsid w:val="00143C7B"/>
    <w:rsid w:val="00155F71"/>
    <w:rsid w:val="00166A74"/>
    <w:rsid w:val="00170E37"/>
    <w:rsid w:val="0017744A"/>
    <w:rsid w:val="0019147B"/>
    <w:rsid w:val="001A289B"/>
    <w:rsid w:val="001B0C3F"/>
    <w:rsid w:val="001B2D13"/>
    <w:rsid w:val="001B2FA2"/>
    <w:rsid w:val="001B3293"/>
    <w:rsid w:val="001B51F9"/>
    <w:rsid w:val="001B629D"/>
    <w:rsid w:val="001C72B2"/>
    <w:rsid w:val="001D43E6"/>
    <w:rsid w:val="001F52A1"/>
    <w:rsid w:val="002004D8"/>
    <w:rsid w:val="00207F87"/>
    <w:rsid w:val="00214346"/>
    <w:rsid w:val="002171BA"/>
    <w:rsid w:val="00221500"/>
    <w:rsid w:val="00247BDA"/>
    <w:rsid w:val="002636D4"/>
    <w:rsid w:val="00264563"/>
    <w:rsid w:val="00265BE8"/>
    <w:rsid w:val="002806D3"/>
    <w:rsid w:val="00286E8B"/>
    <w:rsid w:val="00287454"/>
    <w:rsid w:val="002A5102"/>
    <w:rsid w:val="002A673C"/>
    <w:rsid w:val="002A6FFB"/>
    <w:rsid w:val="002C02F9"/>
    <w:rsid w:val="002C3FE9"/>
    <w:rsid w:val="002C74AE"/>
    <w:rsid w:val="002D0619"/>
    <w:rsid w:val="002D2A2A"/>
    <w:rsid w:val="002F4660"/>
    <w:rsid w:val="002F5D62"/>
    <w:rsid w:val="003038CF"/>
    <w:rsid w:val="00314076"/>
    <w:rsid w:val="00320D64"/>
    <w:rsid w:val="003441D4"/>
    <w:rsid w:val="00344EE0"/>
    <w:rsid w:val="00351211"/>
    <w:rsid w:val="003514D3"/>
    <w:rsid w:val="00353B33"/>
    <w:rsid w:val="003608BF"/>
    <w:rsid w:val="00361294"/>
    <w:rsid w:val="00366AC4"/>
    <w:rsid w:val="0037141E"/>
    <w:rsid w:val="0038459E"/>
    <w:rsid w:val="00393DF0"/>
    <w:rsid w:val="003A3F38"/>
    <w:rsid w:val="003A6F6D"/>
    <w:rsid w:val="003B1793"/>
    <w:rsid w:val="003B26C2"/>
    <w:rsid w:val="003B4C7E"/>
    <w:rsid w:val="003C7350"/>
    <w:rsid w:val="003D3B85"/>
    <w:rsid w:val="003D42C8"/>
    <w:rsid w:val="003D78A5"/>
    <w:rsid w:val="003E3238"/>
    <w:rsid w:val="003E3DDC"/>
    <w:rsid w:val="003F09C6"/>
    <w:rsid w:val="003F6FD1"/>
    <w:rsid w:val="004037B5"/>
    <w:rsid w:val="00406D78"/>
    <w:rsid w:val="00410D8C"/>
    <w:rsid w:val="00415CC9"/>
    <w:rsid w:val="004240DE"/>
    <w:rsid w:val="004270FB"/>
    <w:rsid w:val="004316DA"/>
    <w:rsid w:val="00435AB9"/>
    <w:rsid w:val="00447593"/>
    <w:rsid w:val="0045075F"/>
    <w:rsid w:val="00450FD1"/>
    <w:rsid w:val="004633F0"/>
    <w:rsid w:val="0046606A"/>
    <w:rsid w:val="00471BC3"/>
    <w:rsid w:val="004725C4"/>
    <w:rsid w:val="0047658C"/>
    <w:rsid w:val="00476BCE"/>
    <w:rsid w:val="004863F6"/>
    <w:rsid w:val="004A6E43"/>
    <w:rsid w:val="004B3493"/>
    <w:rsid w:val="004C2741"/>
    <w:rsid w:val="004D6881"/>
    <w:rsid w:val="004E4B62"/>
    <w:rsid w:val="004F2D70"/>
    <w:rsid w:val="0050699E"/>
    <w:rsid w:val="00510F6C"/>
    <w:rsid w:val="005164EB"/>
    <w:rsid w:val="00523F6A"/>
    <w:rsid w:val="0055066D"/>
    <w:rsid w:val="00560A0C"/>
    <w:rsid w:val="005624F2"/>
    <w:rsid w:val="005662BF"/>
    <w:rsid w:val="00573668"/>
    <w:rsid w:val="005919F4"/>
    <w:rsid w:val="0059655C"/>
    <w:rsid w:val="005A0440"/>
    <w:rsid w:val="005C124D"/>
    <w:rsid w:val="005C7A45"/>
    <w:rsid w:val="005E390D"/>
    <w:rsid w:val="005E392C"/>
    <w:rsid w:val="005E5A25"/>
    <w:rsid w:val="005E6F98"/>
    <w:rsid w:val="005F2111"/>
    <w:rsid w:val="006068A5"/>
    <w:rsid w:val="00606A29"/>
    <w:rsid w:val="00622F12"/>
    <w:rsid w:val="0062419E"/>
    <w:rsid w:val="006332AC"/>
    <w:rsid w:val="006406F5"/>
    <w:rsid w:val="006465E7"/>
    <w:rsid w:val="00647EA6"/>
    <w:rsid w:val="00651E5F"/>
    <w:rsid w:val="00666CC9"/>
    <w:rsid w:val="0069113E"/>
    <w:rsid w:val="00691E68"/>
    <w:rsid w:val="0069646E"/>
    <w:rsid w:val="006A06C9"/>
    <w:rsid w:val="006B7741"/>
    <w:rsid w:val="006C29A9"/>
    <w:rsid w:val="006C655E"/>
    <w:rsid w:val="006D09A3"/>
    <w:rsid w:val="006D4DBE"/>
    <w:rsid w:val="006D7968"/>
    <w:rsid w:val="006F67E2"/>
    <w:rsid w:val="007108D9"/>
    <w:rsid w:val="00740368"/>
    <w:rsid w:val="00740596"/>
    <w:rsid w:val="007419FE"/>
    <w:rsid w:val="0074600C"/>
    <w:rsid w:val="00747E0B"/>
    <w:rsid w:val="00756076"/>
    <w:rsid w:val="007573B9"/>
    <w:rsid w:val="00757577"/>
    <w:rsid w:val="007672BC"/>
    <w:rsid w:val="00773D7B"/>
    <w:rsid w:val="0078030D"/>
    <w:rsid w:val="00782084"/>
    <w:rsid w:val="00784FA0"/>
    <w:rsid w:val="007951BE"/>
    <w:rsid w:val="007961B4"/>
    <w:rsid w:val="00796FE7"/>
    <w:rsid w:val="007C2F67"/>
    <w:rsid w:val="007E0669"/>
    <w:rsid w:val="007F0B84"/>
    <w:rsid w:val="007F24DD"/>
    <w:rsid w:val="0081275C"/>
    <w:rsid w:val="00831B2F"/>
    <w:rsid w:val="00834A11"/>
    <w:rsid w:val="0084586F"/>
    <w:rsid w:val="00852C69"/>
    <w:rsid w:val="00853F99"/>
    <w:rsid w:val="00855C54"/>
    <w:rsid w:val="00857455"/>
    <w:rsid w:val="00860CB4"/>
    <w:rsid w:val="00865FC8"/>
    <w:rsid w:val="0088483B"/>
    <w:rsid w:val="00886E58"/>
    <w:rsid w:val="008956A5"/>
    <w:rsid w:val="008A3D5C"/>
    <w:rsid w:val="008B21D3"/>
    <w:rsid w:val="008B36DB"/>
    <w:rsid w:val="008B4B96"/>
    <w:rsid w:val="008C2C46"/>
    <w:rsid w:val="008C406A"/>
    <w:rsid w:val="008D661C"/>
    <w:rsid w:val="008E777E"/>
    <w:rsid w:val="00901667"/>
    <w:rsid w:val="00905045"/>
    <w:rsid w:val="00911192"/>
    <w:rsid w:val="00911A25"/>
    <w:rsid w:val="00922B00"/>
    <w:rsid w:val="00940EE2"/>
    <w:rsid w:val="00954C99"/>
    <w:rsid w:val="00964D39"/>
    <w:rsid w:val="00970FBB"/>
    <w:rsid w:val="00973944"/>
    <w:rsid w:val="0098378C"/>
    <w:rsid w:val="00984489"/>
    <w:rsid w:val="009959CA"/>
    <w:rsid w:val="009A03DA"/>
    <w:rsid w:val="009A0D98"/>
    <w:rsid w:val="009C010C"/>
    <w:rsid w:val="009C13CB"/>
    <w:rsid w:val="00A00A04"/>
    <w:rsid w:val="00A0189E"/>
    <w:rsid w:val="00A020A4"/>
    <w:rsid w:val="00A1509B"/>
    <w:rsid w:val="00A271E4"/>
    <w:rsid w:val="00A2794B"/>
    <w:rsid w:val="00A31983"/>
    <w:rsid w:val="00A44D5E"/>
    <w:rsid w:val="00A44D6B"/>
    <w:rsid w:val="00A66391"/>
    <w:rsid w:val="00A725CB"/>
    <w:rsid w:val="00A72BB0"/>
    <w:rsid w:val="00A73292"/>
    <w:rsid w:val="00A73DAA"/>
    <w:rsid w:val="00A76D39"/>
    <w:rsid w:val="00AA27EB"/>
    <w:rsid w:val="00AC284C"/>
    <w:rsid w:val="00AC3D18"/>
    <w:rsid w:val="00AC6BEB"/>
    <w:rsid w:val="00AE4D91"/>
    <w:rsid w:val="00AF515D"/>
    <w:rsid w:val="00B2537B"/>
    <w:rsid w:val="00B26F5D"/>
    <w:rsid w:val="00B316C2"/>
    <w:rsid w:val="00B36691"/>
    <w:rsid w:val="00B465B5"/>
    <w:rsid w:val="00B50638"/>
    <w:rsid w:val="00B52D16"/>
    <w:rsid w:val="00B62BA8"/>
    <w:rsid w:val="00B71E74"/>
    <w:rsid w:val="00B819FD"/>
    <w:rsid w:val="00B9760E"/>
    <w:rsid w:val="00BA1DFC"/>
    <w:rsid w:val="00BB045D"/>
    <w:rsid w:val="00BB1C50"/>
    <w:rsid w:val="00BB48B2"/>
    <w:rsid w:val="00BB4C22"/>
    <w:rsid w:val="00BB7453"/>
    <w:rsid w:val="00BB7AF4"/>
    <w:rsid w:val="00BE7D90"/>
    <w:rsid w:val="00BF43D7"/>
    <w:rsid w:val="00C01434"/>
    <w:rsid w:val="00C23E50"/>
    <w:rsid w:val="00C40A4B"/>
    <w:rsid w:val="00C44D7A"/>
    <w:rsid w:val="00C46208"/>
    <w:rsid w:val="00C50D91"/>
    <w:rsid w:val="00C57E96"/>
    <w:rsid w:val="00C66617"/>
    <w:rsid w:val="00C704EE"/>
    <w:rsid w:val="00C82056"/>
    <w:rsid w:val="00C82ECF"/>
    <w:rsid w:val="00C84EFD"/>
    <w:rsid w:val="00CA25AF"/>
    <w:rsid w:val="00CE04CD"/>
    <w:rsid w:val="00CE3477"/>
    <w:rsid w:val="00CE72B0"/>
    <w:rsid w:val="00CF4E23"/>
    <w:rsid w:val="00D10177"/>
    <w:rsid w:val="00D10A47"/>
    <w:rsid w:val="00D1216E"/>
    <w:rsid w:val="00D15E8B"/>
    <w:rsid w:val="00D239B9"/>
    <w:rsid w:val="00D30BE4"/>
    <w:rsid w:val="00D30FA4"/>
    <w:rsid w:val="00D3135F"/>
    <w:rsid w:val="00D32791"/>
    <w:rsid w:val="00D32852"/>
    <w:rsid w:val="00D37DAB"/>
    <w:rsid w:val="00D42561"/>
    <w:rsid w:val="00D439FE"/>
    <w:rsid w:val="00D51663"/>
    <w:rsid w:val="00D5718E"/>
    <w:rsid w:val="00D63D53"/>
    <w:rsid w:val="00D6434E"/>
    <w:rsid w:val="00D64D3A"/>
    <w:rsid w:val="00D708AB"/>
    <w:rsid w:val="00D718D0"/>
    <w:rsid w:val="00D87B20"/>
    <w:rsid w:val="00D967E6"/>
    <w:rsid w:val="00DA02DD"/>
    <w:rsid w:val="00DA4BCF"/>
    <w:rsid w:val="00DA55D1"/>
    <w:rsid w:val="00DC701E"/>
    <w:rsid w:val="00DD599F"/>
    <w:rsid w:val="00DE129A"/>
    <w:rsid w:val="00DE4C7A"/>
    <w:rsid w:val="00E002D8"/>
    <w:rsid w:val="00E226C2"/>
    <w:rsid w:val="00E3600D"/>
    <w:rsid w:val="00E542DF"/>
    <w:rsid w:val="00E54D92"/>
    <w:rsid w:val="00E61E4F"/>
    <w:rsid w:val="00E712AD"/>
    <w:rsid w:val="00E7182B"/>
    <w:rsid w:val="00E82460"/>
    <w:rsid w:val="00E96FB2"/>
    <w:rsid w:val="00EA04A8"/>
    <w:rsid w:val="00EA6FB8"/>
    <w:rsid w:val="00EB51E5"/>
    <w:rsid w:val="00EC3321"/>
    <w:rsid w:val="00EC39B9"/>
    <w:rsid w:val="00ED358E"/>
    <w:rsid w:val="00ED41EF"/>
    <w:rsid w:val="00ED44C8"/>
    <w:rsid w:val="00ED54AD"/>
    <w:rsid w:val="00EE02DA"/>
    <w:rsid w:val="00EE28CD"/>
    <w:rsid w:val="00EE6294"/>
    <w:rsid w:val="00EF4874"/>
    <w:rsid w:val="00F05812"/>
    <w:rsid w:val="00F06F48"/>
    <w:rsid w:val="00F07BEB"/>
    <w:rsid w:val="00F1574C"/>
    <w:rsid w:val="00F23BAC"/>
    <w:rsid w:val="00F27B5E"/>
    <w:rsid w:val="00F36F6A"/>
    <w:rsid w:val="00F3731B"/>
    <w:rsid w:val="00F4303D"/>
    <w:rsid w:val="00F461E3"/>
    <w:rsid w:val="00F47364"/>
    <w:rsid w:val="00F54241"/>
    <w:rsid w:val="00F66427"/>
    <w:rsid w:val="00F66B5E"/>
    <w:rsid w:val="00F710FE"/>
    <w:rsid w:val="00F90C8C"/>
    <w:rsid w:val="00F93400"/>
    <w:rsid w:val="00FB4693"/>
    <w:rsid w:val="00FB6A0E"/>
    <w:rsid w:val="00FB7207"/>
    <w:rsid w:val="00FD0EEF"/>
    <w:rsid w:val="00FD3FC8"/>
    <w:rsid w:val="00FF3D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65EC"/>
  <w15:docId w15:val="{E13D16ED-9C77-4AC4-97F6-AEB96547F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600D"/>
    <w:rPr>
      <w:noProof/>
    </w:rPr>
  </w:style>
  <w:style w:type="paragraph" w:styleId="Heading1">
    <w:name w:val="heading 1"/>
    <w:basedOn w:val="Normal"/>
    <w:next w:val="Normal"/>
    <w:link w:val="Heading1Char"/>
    <w:uiPriority w:val="9"/>
    <w:qFormat/>
    <w:rsid w:val="00853F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F67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67E2"/>
    <w:rPr>
      <w:rFonts w:ascii="Tahoma" w:hAnsi="Tahoma" w:cs="Tahoma"/>
      <w:noProof/>
      <w:sz w:val="16"/>
      <w:szCs w:val="16"/>
    </w:rPr>
  </w:style>
  <w:style w:type="paragraph" w:styleId="ListParagraph">
    <w:name w:val="List Paragraph"/>
    <w:basedOn w:val="Normal"/>
    <w:uiPriority w:val="34"/>
    <w:qFormat/>
    <w:rsid w:val="00510F6C"/>
    <w:pPr>
      <w:ind w:left="720"/>
      <w:contextualSpacing/>
    </w:pPr>
  </w:style>
  <w:style w:type="character" w:customStyle="1" w:styleId="A95">
    <w:name w:val="A9+5"/>
    <w:uiPriority w:val="99"/>
    <w:rsid w:val="0062419E"/>
    <w:rPr>
      <w:color w:val="000000"/>
      <w:sz w:val="20"/>
      <w:szCs w:val="20"/>
    </w:rPr>
  </w:style>
  <w:style w:type="paragraph" w:customStyle="1" w:styleId="Pa10">
    <w:name w:val="Pa10"/>
    <w:basedOn w:val="Normal"/>
    <w:next w:val="Normal"/>
    <w:uiPriority w:val="99"/>
    <w:rsid w:val="0062419E"/>
    <w:pPr>
      <w:autoSpaceDE w:val="0"/>
      <w:autoSpaceDN w:val="0"/>
      <w:adjustRightInd w:val="0"/>
      <w:spacing w:after="0" w:line="201" w:lineRule="atLeast"/>
    </w:pPr>
    <w:rPr>
      <w:rFonts w:ascii="Verdana" w:eastAsia="Calibri" w:hAnsi="Verdana" w:cs="Times New Roman"/>
      <w:noProof w:val="0"/>
      <w:sz w:val="24"/>
      <w:szCs w:val="24"/>
      <w:lang w:eastAsia="el-GR"/>
    </w:rPr>
  </w:style>
  <w:style w:type="paragraph" w:styleId="Header">
    <w:name w:val="header"/>
    <w:basedOn w:val="Normal"/>
    <w:link w:val="HeaderChar"/>
    <w:uiPriority w:val="99"/>
    <w:unhideWhenUsed/>
    <w:rsid w:val="00740368"/>
    <w:pPr>
      <w:tabs>
        <w:tab w:val="center" w:pos="4153"/>
        <w:tab w:val="right" w:pos="8306"/>
      </w:tabs>
      <w:spacing w:after="0" w:line="240" w:lineRule="auto"/>
    </w:pPr>
  </w:style>
  <w:style w:type="character" w:customStyle="1" w:styleId="HeaderChar">
    <w:name w:val="Header Char"/>
    <w:basedOn w:val="DefaultParagraphFont"/>
    <w:link w:val="Header"/>
    <w:uiPriority w:val="99"/>
    <w:rsid w:val="00740368"/>
    <w:rPr>
      <w:noProof/>
    </w:rPr>
  </w:style>
  <w:style w:type="paragraph" w:styleId="Footer">
    <w:name w:val="footer"/>
    <w:basedOn w:val="Normal"/>
    <w:link w:val="FooterChar"/>
    <w:uiPriority w:val="99"/>
    <w:unhideWhenUsed/>
    <w:rsid w:val="00740368"/>
    <w:pPr>
      <w:tabs>
        <w:tab w:val="center" w:pos="4153"/>
        <w:tab w:val="right" w:pos="8306"/>
      </w:tabs>
      <w:spacing w:after="0" w:line="240" w:lineRule="auto"/>
    </w:pPr>
  </w:style>
  <w:style w:type="character" w:customStyle="1" w:styleId="FooterChar">
    <w:name w:val="Footer Char"/>
    <w:basedOn w:val="DefaultParagraphFont"/>
    <w:link w:val="Footer"/>
    <w:uiPriority w:val="99"/>
    <w:rsid w:val="00740368"/>
    <w:rPr>
      <w:noProof/>
    </w:rPr>
  </w:style>
  <w:style w:type="paragraph" w:styleId="HTMLPreformatted">
    <w:name w:val="HTML Preformatted"/>
    <w:basedOn w:val="Normal"/>
    <w:link w:val="HTMLPreformattedChar"/>
    <w:uiPriority w:val="99"/>
    <w:semiHidden/>
    <w:unhideWhenUsed/>
    <w:rsid w:val="00140B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el-GR"/>
    </w:rPr>
  </w:style>
  <w:style w:type="character" w:customStyle="1" w:styleId="HTMLPreformattedChar">
    <w:name w:val="HTML Preformatted Char"/>
    <w:basedOn w:val="DefaultParagraphFont"/>
    <w:link w:val="HTMLPreformatted"/>
    <w:uiPriority w:val="99"/>
    <w:semiHidden/>
    <w:rsid w:val="00140B2A"/>
    <w:rPr>
      <w:rFonts w:ascii="Courier New" w:eastAsia="Times New Roman" w:hAnsi="Courier New" w:cs="Courier New"/>
      <w:sz w:val="20"/>
      <w:szCs w:val="20"/>
      <w:lang w:eastAsia="el-GR"/>
    </w:rPr>
  </w:style>
  <w:style w:type="character" w:customStyle="1" w:styleId="Heading1Char">
    <w:name w:val="Heading 1 Char"/>
    <w:basedOn w:val="DefaultParagraphFont"/>
    <w:link w:val="Heading1"/>
    <w:uiPriority w:val="9"/>
    <w:rsid w:val="00853F99"/>
    <w:rPr>
      <w:rFonts w:asciiTheme="majorHAnsi" w:eastAsiaTheme="majorEastAsia" w:hAnsiTheme="majorHAnsi" w:cstheme="majorBidi"/>
      <w:noProof/>
      <w:color w:val="365F91" w:themeColor="accent1" w:themeShade="BF"/>
      <w:sz w:val="32"/>
      <w:szCs w:val="32"/>
    </w:rPr>
  </w:style>
  <w:style w:type="character" w:styleId="Hyperlink">
    <w:name w:val="Hyperlink"/>
    <w:basedOn w:val="DefaultParagraphFont"/>
    <w:uiPriority w:val="99"/>
    <w:unhideWhenUsed/>
    <w:rsid w:val="00F93400"/>
    <w:rPr>
      <w:color w:val="0000FF" w:themeColor="hyperlink"/>
      <w:u w:val="single"/>
    </w:rPr>
  </w:style>
  <w:style w:type="character" w:styleId="UnresolvedMention">
    <w:name w:val="Unresolved Mention"/>
    <w:basedOn w:val="DefaultParagraphFont"/>
    <w:uiPriority w:val="99"/>
    <w:semiHidden/>
    <w:unhideWhenUsed/>
    <w:rsid w:val="00F93400"/>
    <w:rPr>
      <w:color w:val="605E5C"/>
      <w:shd w:val="clear" w:color="auto" w:fill="E1DFDD"/>
    </w:rPr>
  </w:style>
  <w:style w:type="character" w:styleId="PageNumber">
    <w:name w:val="page number"/>
    <w:basedOn w:val="DefaultParagraphFont"/>
    <w:rsid w:val="005662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6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ody.gov.gr/el/nosimata/metadotika/nosimata-kai-themata-ygeias/meningitida-bakteriake.html?me=m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C2E9E-5048-4642-BB47-03A9E556F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1551</Words>
  <Characters>8749</Characters>
  <Application>Microsoft Office Word</Application>
  <DocSecurity>0</DocSecurity>
  <Lines>150</Lines>
  <Paragraphs>55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Theano Georgakopoulou</dc:creator>
  <cp:lastModifiedBy>Theano</cp:lastModifiedBy>
  <cp:revision>3</cp:revision>
  <cp:lastPrinted>2026-05-11T21:05:00Z</cp:lastPrinted>
  <dcterms:created xsi:type="dcterms:W3CDTF">2026-05-11T21:02:00Z</dcterms:created>
  <dcterms:modified xsi:type="dcterms:W3CDTF">2026-05-11T21:06:00Z</dcterms:modified>
</cp:coreProperties>
</file>