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E24F99" w14:textId="77777777" w:rsidR="00950685" w:rsidRDefault="00CC7F28" w:rsidP="007D222B">
      <w:pPr>
        <w:jc w:val="both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noProof/>
          <w:color w:val="000000"/>
          <w:lang w:val="en-US"/>
        </w:rPr>
        <w:drawing>
          <wp:anchor distT="0" distB="0" distL="114300" distR="114300" simplePos="0" relativeHeight="251658240" behindDoc="0" locked="0" layoutInCell="1" allowOverlap="1" wp14:anchorId="41FF248C" wp14:editId="7429DA29">
            <wp:simplePos x="0" y="0"/>
            <wp:positionH relativeFrom="column">
              <wp:posOffset>2271395</wp:posOffset>
            </wp:positionH>
            <wp:positionV relativeFrom="paragraph">
              <wp:posOffset>-381000</wp:posOffset>
            </wp:positionV>
            <wp:extent cx="1314450" cy="1386475"/>
            <wp:effectExtent l="0" t="0" r="0" b="0"/>
            <wp:wrapNone/>
            <wp:docPr id="1" name="Εικόνα 1" descr="C:\Documents and Settings\katsaounos\Επιφάνεια εργασίας\Δημιουργία εικόνα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Documents and Settings\katsaounos\Επιφάνεια εργασίας\Δημιουργία εικόνας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8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C14891B" w14:textId="77777777" w:rsidR="00835E71" w:rsidRPr="00835E71" w:rsidRDefault="00835E71" w:rsidP="007D222B">
      <w:pPr>
        <w:jc w:val="both"/>
        <w:rPr>
          <w:rFonts w:ascii="Arial" w:hAnsi="Arial" w:cs="Arial"/>
          <w:b/>
          <w:bCs/>
          <w:color w:val="000000"/>
          <w:lang w:val="en-US"/>
        </w:rPr>
      </w:pPr>
    </w:p>
    <w:p w14:paraId="3ADCB98F" w14:textId="77777777" w:rsidR="00950685" w:rsidRDefault="00950685" w:rsidP="007D222B">
      <w:pPr>
        <w:jc w:val="both"/>
        <w:rPr>
          <w:rFonts w:ascii="Arial" w:hAnsi="Arial" w:cs="Arial"/>
          <w:b/>
          <w:bCs/>
          <w:color w:val="000000"/>
        </w:rPr>
      </w:pPr>
    </w:p>
    <w:p w14:paraId="40C77A64" w14:textId="77777777" w:rsidR="00835E71" w:rsidRPr="006677A9" w:rsidRDefault="00835E71" w:rsidP="00835E71">
      <w:pPr>
        <w:spacing w:after="0" w:line="240" w:lineRule="auto"/>
        <w:jc w:val="center"/>
        <w:rPr>
          <w:rFonts w:eastAsia="Times New Roman"/>
          <w:b/>
          <w:color w:val="4F81BD"/>
          <w:sz w:val="16"/>
          <w:szCs w:val="16"/>
          <w:lang w:eastAsia="el-GR"/>
        </w:rPr>
      </w:pPr>
    </w:p>
    <w:p w14:paraId="2E5C7281" w14:textId="3845C743" w:rsidR="007B4D2D" w:rsidRDefault="00A14500" w:rsidP="00835E71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>
        <w:rPr>
          <w:rFonts w:eastAsia="Times New Roman" w:cs="Arial"/>
          <w:b/>
          <w:sz w:val="28"/>
          <w:szCs w:val="28"/>
          <w:lang w:eastAsia="el-GR"/>
        </w:rPr>
        <w:t xml:space="preserve">Διεύθυνση </w:t>
      </w:r>
      <w:r w:rsidR="00835E71" w:rsidRPr="006677A9">
        <w:rPr>
          <w:rFonts w:eastAsia="Times New Roman" w:cs="Arial"/>
          <w:b/>
          <w:sz w:val="28"/>
          <w:szCs w:val="28"/>
          <w:lang w:eastAsia="el-GR"/>
        </w:rPr>
        <w:t xml:space="preserve">Επιδημιολογικής Επιτήρησης </w:t>
      </w:r>
      <w:r w:rsidR="007B4D2D">
        <w:rPr>
          <w:rFonts w:eastAsia="Times New Roman" w:cs="Arial"/>
          <w:b/>
          <w:sz w:val="28"/>
          <w:szCs w:val="28"/>
          <w:lang w:eastAsia="el-GR"/>
        </w:rPr>
        <w:t>και</w:t>
      </w:r>
    </w:p>
    <w:p w14:paraId="3FAF2732" w14:textId="3C915451" w:rsidR="00835E71" w:rsidRPr="006677A9" w:rsidRDefault="007B4D2D" w:rsidP="00835E71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el-GR"/>
        </w:rPr>
      </w:pPr>
      <w:r>
        <w:rPr>
          <w:rFonts w:eastAsia="Times New Roman" w:cs="Arial"/>
          <w:b/>
          <w:sz w:val="28"/>
          <w:szCs w:val="28"/>
          <w:lang w:eastAsia="el-GR"/>
        </w:rPr>
        <w:t>Πρόληψης Μεταδοτικών Νοσημάτων</w:t>
      </w:r>
    </w:p>
    <w:p w14:paraId="3D7F6CFA" w14:textId="616D46E6" w:rsidR="00835E71" w:rsidRPr="006677A9" w:rsidRDefault="00A14500" w:rsidP="00835E71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l-GR"/>
        </w:rPr>
      </w:pPr>
      <w:r>
        <w:rPr>
          <w:rFonts w:eastAsia="Times New Roman" w:cs="Arial"/>
          <w:b/>
          <w:sz w:val="24"/>
          <w:szCs w:val="24"/>
          <w:lang w:eastAsia="el-GR"/>
        </w:rPr>
        <w:t xml:space="preserve">Τμήμα </w:t>
      </w:r>
      <w:r w:rsidR="00835E71" w:rsidRPr="006677A9">
        <w:rPr>
          <w:rFonts w:eastAsia="Times New Roman" w:cs="Arial"/>
          <w:b/>
          <w:sz w:val="24"/>
          <w:szCs w:val="24"/>
          <w:lang w:eastAsia="el-GR"/>
        </w:rPr>
        <w:t>Νοσημάτων που Προλαμβάνονται με Εμβολιασμό</w:t>
      </w:r>
    </w:p>
    <w:p w14:paraId="5C84750E" w14:textId="77777777" w:rsidR="00950685" w:rsidRDefault="00835E71" w:rsidP="00A1450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l-GR"/>
        </w:rPr>
      </w:pPr>
      <w:r w:rsidRPr="006677A9">
        <w:rPr>
          <w:rFonts w:eastAsia="Times New Roman" w:cs="Arial"/>
          <w:b/>
          <w:sz w:val="24"/>
          <w:szCs w:val="24"/>
          <w:lang w:eastAsia="el-GR"/>
        </w:rPr>
        <w:t xml:space="preserve">&amp; Συγγενών </w:t>
      </w:r>
      <w:r w:rsidR="00A14500">
        <w:rPr>
          <w:rFonts w:eastAsia="Times New Roman" w:cs="Arial"/>
          <w:b/>
          <w:sz w:val="24"/>
          <w:szCs w:val="24"/>
          <w:lang w:eastAsia="el-GR"/>
        </w:rPr>
        <w:t>Λοιμώξεων</w:t>
      </w:r>
    </w:p>
    <w:p w14:paraId="608B89CD" w14:textId="77777777" w:rsidR="00A14500" w:rsidRDefault="00A14500" w:rsidP="00A14500">
      <w:pPr>
        <w:spacing w:after="0" w:line="240" w:lineRule="auto"/>
        <w:jc w:val="center"/>
        <w:rPr>
          <w:rFonts w:eastAsia="Times New Roman" w:cs="Arial"/>
          <w:b/>
          <w:sz w:val="24"/>
          <w:szCs w:val="24"/>
          <w:lang w:eastAsia="el-GR"/>
        </w:rPr>
      </w:pPr>
    </w:p>
    <w:p w14:paraId="64327701" w14:textId="4CA84DFA" w:rsidR="00272D0A" w:rsidRPr="0076544E" w:rsidRDefault="00272D0A" w:rsidP="00272D0A">
      <w:pPr>
        <w:spacing w:after="0" w:line="240" w:lineRule="auto"/>
        <w:jc w:val="center"/>
        <w:rPr>
          <w:rFonts w:eastAsia="Times New Roman" w:cs="Times New Roman"/>
          <w:b/>
          <w:color w:val="0070C0"/>
          <w:lang w:eastAsia="el-GR"/>
        </w:rPr>
      </w:pPr>
      <w:r w:rsidRPr="00272D0A">
        <w:rPr>
          <w:rFonts w:eastAsia="Times New Roman" w:cs="Times New Roman"/>
          <w:b/>
          <w:color w:val="0070C0"/>
          <w:lang w:eastAsia="el-GR"/>
        </w:rPr>
        <w:t xml:space="preserve">ΕΠΙΔΗΜΙΟΛΟΓΙΚΑ ΔΕΔΟΜΕΝΑ ΓΙΑ </w:t>
      </w:r>
      <w:r>
        <w:rPr>
          <w:rFonts w:eastAsia="Times New Roman" w:cs="Times New Roman"/>
          <w:b/>
          <w:color w:val="0070C0"/>
          <w:lang w:eastAsia="el-GR"/>
        </w:rPr>
        <w:t>ΤΗ</w:t>
      </w:r>
      <w:r w:rsidRPr="00272D0A">
        <w:rPr>
          <w:rFonts w:eastAsia="Times New Roman" w:cs="Times New Roman"/>
          <w:b/>
          <w:color w:val="0070C0"/>
          <w:lang w:eastAsia="el-GR"/>
        </w:rPr>
        <w:t xml:space="preserve"> </w:t>
      </w:r>
      <w:r w:rsidR="00AF6C6E">
        <w:rPr>
          <w:rFonts w:eastAsia="Times New Roman" w:cs="Times New Roman"/>
          <w:b/>
          <w:color w:val="0070C0"/>
          <w:lang w:eastAsia="el-GR"/>
        </w:rPr>
        <w:t xml:space="preserve">ΔΙΕΙΣΔΥΤΙΚΗ </w:t>
      </w:r>
      <w:r>
        <w:rPr>
          <w:rFonts w:eastAsia="Times New Roman" w:cs="Times New Roman"/>
          <w:b/>
          <w:color w:val="0070C0"/>
          <w:lang w:eastAsia="el-GR"/>
        </w:rPr>
        <w:t>ΜΗΝΙΓΓΙΤΙΔΟΚΟΚΚΙΚΗ ΝΟΣΟ ΣΤΗΝ</w:t>
      </w:r>
      <w:r w:rsidR="000D38C4">
        <w:rPr>
          <w:rFonts w:eastAsia="Times New Roman" w:cs="Times New Roman"/>
          <w:b/>
          <w:color w:val="0070C0"/>
          <w:lang w:eastAsia="el-GR"/>
        </w:rPr>
        <w:t xml:space="preserve"> ΕΛΛΑΔΑ, 2004-202</w:t>
      </w:r>
      <w:r w:rsidR="00C16ADB">
        <w:rPr>
          <w:rFonts w:eastAsia="Times New Roman" w:cs="Times New Roman"/>
          <w:b/>
          <w:color w:val="0070C0"/>
          <w:lang w:eastAsia="el-GR"/>
        </w:rPr>
        <w:t>5</w:t>
      </w:r>
    </w:p>
    <w:p w14:paraId="7F0C5307" w14:textId="77777777" w:rsidR="00272D0A" w:rsidRPr="007B4D2D" w:rsidRDefault="00272D0A" w:rsidP="00272D0A">
      <w:pPr>
        <w:spacing w:after="0" w:line="240" w:lineRule="auto"/>
        <w:jc w:val="center"/>
        <w:rPr>
          <w:rFonts w:eastAsia="Times New Roman" w:cs="Times New Roman"/>
          <w:b/>
          <w:color w:val="0070C0"/>
          <w:sz w:val="8"/>
          <w:szCs w:val="8"/>
          <w:lang w:eastAsia="el-GR"/>
        </w:rPr>
      </w:pPr>
    </w:p>
    <w:p w14:paraId="16DA2271" w14:textId="785CF406" w:rsidR="00272D0A" w:rsidRPr="00272D0A" w:rsidRDefault="00272D0A" w:rsidP="007A4B69">
      <w:pPr>
        <w:spacing w:after="240" w:line="240" w:lineRule="auto"/>
        <w:jc w:val="center"/>
        <w:rPr>
          <w:rFonts w:eastAsia="Times New Roman" w:cs="Times New Roman"/>
          <w:b/>
          <w:color w:val="0070C0"/>
          <w:lang w:eastAsia="el-GR"/>
        </w:rPr>
      </w:pPr>
      <w:r w:rsidRPr="00272D0A">
        <w:rPr>
          <w:rFonts w:eastAsia="Times New Roman" w:cs="Times New Roman"/>
          <w:b/>
          <w:color w:val="0070C0"/>
          <w:lang w:eastAsia="el-GR"/>
        </w:rPr>
        <w:t>(ΣΥΣΤΗΜΑ ΥΠΟΧΡΕΩΤΙΚΗΣ ΔΗΛΩΣΗΣ ΝΟΣΗΜΑΤΩΝ</w:t>
      </w:r>
      <w:r w:rsidR="00806969">
        <w:rPr>
          <w:rFonts w:eastAsia="Times New Roman" w:cs="Times New Roman"/>
          <w:b/>
          <w:color w:val="0070C0"/>
          <w:lang w:eastAsia="el-GR"/>
        </w:rPr>
        <w:t>)</w:t>
      </w:r>
    </w:p>
    <w:p w14:paraId="4967F5EF" w14:textId="77777777" w:rsidR="00A14500" w:rsidRPr="00D63381" w:rsidRDefault="00A14500" w:rsidP="00A14500">
      <w:pPr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2C6EB185" w14:textId="17D14005" w:rsidR="00A634D9" w:rsidRPr="00D63381" w:rsidRDefault="00A634D9" w:rsidP="00541707">
      <w:pPr>
        <w:pStyle w:val="Heading2"/>
        <w:spacing w:after="360"/>
        <w:ind w:left="-6" w:hanging="11"/>
        <w:rPr>
          <w:rFonts w:ascii="Arial" w:hAnsi="Arial" w:cs="Arial"/>
          <w:b/>
          <w:bCs/>
          <w:color w:val="000000"/>
        </w:rPr>
      </w:pPr>
      <w:r w:rsidRPr="00A634D9">
        <w:rPr>
          <w:rFonts w:ascii="Calibri" w:hAnsi="Calibri" w:cs="Calibri"/>
          <w:b/>
          <w:bCs/>
          <w:color w:val="0070C0"/>
          <w:sz w:val="22"/>
          <w:szCs w:val="22"/>
        </w:rPr>
        <w:t xml:space="preserve">Σημαντικά σημεία 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9EFF7"/>
        <w:tblLook w:val="0000" w:firstRow="0" w:lastRow="0" w:firstColumn="0" w:lastColumn="0" w:noHBand="0" w:noVBand="0"/>
      </w:tblPr>
      <w:tblGrid>
        <w:gridCol w:w="9327"/>
      </w:tblGrid>
      <w:tr w:rsidR="00A634D9" w:rsidRPr="000546A4" w14:paraId="7C54EBD9" w14:textId="77777777" w:rsidTr="006D493F">
        <w:trPr>
          <w:trHeight w:val="2080"/>
        </w:trPr>
        <w:tc>
          <w:tcPr>
            <w:tcW w:w="9327" w:type="dxa"/>
            <w:shd w:val="clear" w:color="auto" w:fill="E9EFF7"/>
          </w:tcPr>
          <w:p w14:paraId="48620250" w14:textId="717DB0A8" w:rsidR="00A634D9" w:rsidRDefault="00A634D9" w:rsidP="00DE143F">
            <w:pPr>
              <w:numPr>
                <w:ilvl w:val="0"/>
                <w:numId w:val="12"/>
              </w:numPr>
              <w:tabs>
                <w:tab w:val="clear" w:pos="720"/>
              </w:tabs>
              <w:spacing w:before="120"/>
              <w:ind w:left="482" w:right="295" w:hanging="284"/>
              <w:jc w:val="both"/>
            </w:pPr>
            <w:r w:rsidRPr="00A634D9">
              <w:t xml:space="preserve">Η </w:t>
            </w:r>
            <w:r>
              <w:t xml:space="preserve">δηλούμενη </w:t>
            </w:r>
            <w:r w:rsidRPr="00A634D9">
              <w:t xml:space="preserve">επίπτωση </w:t>
            </w:r>
            <w:r>
              <w:t xml:space="preserve">της </w:t>
            </w:r>
            <w:r w:rsidR="00472ED8">
              <w:t xml:space="preserve">διεισδυτικής </w:t>
            </w:r>
            <w:r>
              <w:t>μ</w:t>
            </w:r>
            <w:r w:rsidR="00A64D0C">
              <w:t>η</w:t>
            </w:r>
            <w:r>
              <w:t>νιγγιτιδοκοκκικής νόσου</w:t>
            </w:r>
            <w:r w:rsidRPr="00A634D9">
              <w:t xml:space="preserve"> παρουσίασε σημαντική πτωτική πορεία από το 2013 έως το 2022</w:t>
            </w:r>
            <w:r>
              <w:t xml:space="preserve"> ειδικά κατά την </w:t>
            </w:r>
            <w:r w:rsidRPr="00A634D9">
              <w:t xml:space="preserve">περίοδο της πανδημίας COVID-19 </w:t>
            </w:r>
            <w:r>
              <w:t xml:space="preserve">όπου </w:t>
            </w:r>
            <w:r w:rsidRPr="00A634D9">
              <w:t>έφτασε στα χαμηλότερά της επίπεδα</w:t>
            </w:r>
            <w:r>
              <w:t xml:space="preserve">. </w:t>
            </w:r>
            <w:r w:rsidRPr="00A634D9">
              <w:t>Κατά την περίοδο 2023-2025 η επίπτωση της νόσου επανήλθε στα χαμηλά προπανδημικά επίπεδα.</w:t>
            </w:r>
          </w:p>
          <w:p w14:paraId="3E0C5E21" w14:textId="2715359A" w:rsidR="00A64D0C" w:rsidRPr="00A634D9" w:rsidRDefault="00A64D0C" w:rsidP="00A634D9">
            <w:pPr>
              <w:numPr>
                <w:ilvl w:val="0"/>
                <w:numId w:val="12"/>
              </w:numPr>
              <w:tabs>
                <w:tab w:val="clear" w:pos="720"/>
              </w:tabs>
              <w:ind w:left="484" w:right="295" w:hanging="283"/>
              <w:jc w:val="both"/>
            </w:pPr>
            <w:r w:rsidRPr="00A634D9">
              <w:t>Το νόσημα παρουσίασε υψηλότερη συχνότητα εμφάνισης στην ηλικιακή ομάδα 0-4 ετών</w:t>
            </w:r>
            <w:r>
              <w:t xml:space="preserve">, </w:t>
            </w:r>
            <w:r w:rsidRPr="00A634D9">
              <w:t xml:space="preserve">με μέση ετήσια δηλούμενη επίπτωση 3,94 </w:t>
            </w:r>
            <w:r w:rsidRPr="00A634D9">
              <w:rPr>
                <w:color w:val="000000"/>
              </w:rPr>
              <w:t>κρούσματα ανά 100.000 πληθυσμού.</w:t>
            </w:r>
            <w:r>
              <w:t>.</w:t>
            </w:r>
          </w:p>
          <w:p w14:paraId="790519DF" w14:textId="458D9206" w:rsidR="00A64D0C" w:rsidRDefault="00A64D0C" w:rsidP="00A634D9">
            <w:pPr>
              <w:numPr>
                <w:ilvl w:val="0"/>
                <w:numId w:val="12"/>
              </w:numPr>
              <w:tabs>
                <w:tab w:val="clear" w:pos="720"/>
              </w:tabs>
              <w:ind w:left="484" w:right="295" w:hanging="283"/>
              <w:jc w:val="both"/>
            </w:pPr>
            <w:r w:rsidRPr="00A64D0C">
              <w:t xml:space="preserve">Στη χώρα μας </w:t>
            </w:r>
            <w:r>
              <w:t>η πλειονότητα</w:t>
            </w:r>
            <w:r w:rsidRPr="00A64D0C">
              <w:t xml:space="preserve"> των περιπτώσεων </w:t>
            </w:r>
            <w:r>
              <w:t>(</w:t>
            </w:r>
            <w:r w:rsidRPr="00A64D0C">
              <w:t>81,3%</w:t>
            </w:r>
            <w:r>
              <w:t>)</w:t>
            </w:r>
            <w:r w:rsidRPr="00A64D0C">
              <w:t xml:space="preserve"> </w:t>
            </w:r>
            <w:r w:rsidR="00472ED8">
              <w:t xml:space="preserve">διεισδυτικής </w:t>
            </w:r>
            <w:r w:rsidRPr="00A64D0C">
              <w:t>μηνιγγιτιδοκοκκικής νόσου όπου έγινε προσδιορισμός της οροομάδας οφείλεται στην οροομάδα Β</w:t>
            </w:r>
            <w:r>
              <w:t>.</w:t>
            </w:r>
          </w:p>
          <w:p w14:paraId="28EBE24A" w14:textId="4FFE9B21" w:rsidR="00A634D9" w:rsidRPr="000546A4" w:rsidRDefault="00A634D9" w:rsidP="00472ED8">
            <w:pPr>
              <w:numPr>
                <w:ilvl w:val="0"/>
                <w:numId w:val="12"/>
              </w:numPr>
              <w:tabs>
                <w:tab w:val="clear" w:pos="720"/>
              </w:tabs>
              <w:ind w:left="484" w:right="295" w:hanging="283"/>
              <w:jc w:val="both"/>
            </w:pPr>
            <w:r>
              <w:t>Η επιδημιολογική επιτήρηση της νόσου και η έγκαιρη εφαρμογή εμβολιασμού αποτελούν τα πλέον ενδεδειγμένα μέτρα για τον έλεγχο της νόσου.</w:t>
            </w:r>
          </w:p>
        </w:tc>
      </w:tr>
    </w:tbl>
    <w:p w14:paraId="088F32B7" w14:textId="77777777" w:rsidR="00472ED8" w:rsidRPr="00A634D9" w:rsidRDefault="00472ED8" w:rsidP="007D222B">
      <w:pPr>
        <w:rPr>
          <w:rFonts w:ascii="Arial" w:hAnsi="Arial" w:cs="Arial"/>
          <w:b/>
          <w:bCs/>
          <w:color w:val="4F81BD"/>
        </w:rPr>
      </w:pPr>
    </w:p>
    <w:p w14:paraId="616E177D" w14:textId="77777777" w:rsidR="009B0B14" w:rsidRPr="00A634D9" w:rsidRDefault="009B0B14" w:rsidP="00A634D9">
      <w:pPr>
        <w:pStyle w:val="Heading2"/>
        <w:spacing w:after="200"/>
        <w:ind w:left="-6" w:hanging="1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A634D9">
        <w:rPr>
          <w:rFonts w:ascii="Calibri" w:hAnsi="Calibri" w:cs="Calibri"/>
          <w:b/>
          <w:bCs/>
          <w:color w:val="0070C0"/>
          <w:sz w:val="22"/>
          <w:szCs w:val="22"/>
        </w:rPr>
        <w:t xml:space="preserve">Επιδημιολογική επιτήρηση </w:t>
      </w:r>
      <w:r w:rsidR="00654DE2" w:rsidRPr="00A634D9">
        <w:rPr>
          <w:rFonts w:ascii="Calibri" w:hAnsi="Calibri" w:cs="Calibri"/>
          <w:b/>
          <w:bCs/>
          <w:color w:val="0070C0"/>
          <w:sz w:val="22"/>
          <w:szCs w:val="22"/>
        </w:rPr>
        <w:t>Μηνιγγίτιδας</w:t>
      </w:r>
    </w:p>
    <w:p w14:paraId="57881064" w14:textId="64C38585" w:rsidR="009B0B14" w:rsidRPr="00A634D9" w:rsidRDefault="009B0B14" w:rsidP="007D222B">
      <w:pPr>
        <w:jc w:val="both"/>
      </w:pPr>
      <w:r w:rsidRPr="00A634D9">
        <w:t xml:space="preserve">Η Ελλάδα επιτηρεί τη μηνιγγίτιδα ως σύνολο, δηλαδή συλλέγει στοιχεία τόσο για τη </w:t>
      </w:r>
      <w:r w:rsidR="00D63381">
        <w:t xml:space="preserve">διεισδυτική </w:t>
      </w:r>
      <w:r w:rsidRPr="00A634D9">
        <w:t>μηνιγγιτιδοκοκκική νόσο (που αποτελεί συνήθως τον κύριο στόχο της επιτήρησης), όσο για τη λοιπή βακτηριακή αλλά και την άσηπτη μηνιγγίτιδα.</w:t>
      </w:r>
    </w:p>
    <w:p w14:paraId="19E9C172" w14:textId="77777777" w:rsidR="009B0B14" w:rsidRPr="00A634D9" w:rsidRDefault="000D38C4" w:rsidP="007D222B">
      <w:pPr>
        <w:jc w:val="both"/>
        <w:rPr>
          <w:rFonts w:asciiTheme="minorHAnsi" w:hAnsiTheme="minorHAnsi" w:cstheme="minorHAnsi"/>
        </w:rPr>
      </w:pPr>
      <w:r w:rsidRPr="00A634D9">
        <w:t>Το Τμήμα Νοσημάτων που προλαμβάνονται με εμβολιασμό</w:t>
      </w:r>
      <w:r w:rsidR="00CC5FDA" w:rsidRPr="00A634D9">
        <w:t xml:space="preserve"> </w:t>
      </w:r>
      <w:r w:rsidR="009B0B14" w:rsidRPr="00A634D9">
        <w:t xml:space="preserve">συγκεντρώνει στοιχεία για τα κρούσματα </w:t>
      </w:r>
      <w:r w:rsidR="00654DE2" w:rsidRPr="00A634D9">
        <w:t>μηνιγγίτιδας</w:t>
      </w:r>
      <w:r w:rsidR="009B0B14" w:rsidRPr="00A634D9">
        <w:t xml:space="preserve"> από όλη τη χώρα τα οποία προέρχονται από την υποχρεωτική δήλωση, από τις Διευθύνσεις </w:t>
      </w:r>
      <w:r w:rsidR="00070E75" w:rsidRPr="00A634D9">
        <w:t xml:space="preserve">Δημόσιας </w:t>
      </w:r>
      <w:r w:rsidR="009B0B14" w:rsidRPr="00A634D9">
        <w:t xml:space="preserve">Υγείας των Νομαρχιών και από </w:t>
      </w:r>
      <w:r w:rsidRPr="00A634D9">
        <w:t>συστηματική</w:t>
      </w:r>
      <w:r w:rsidR="009B0B14" w:rsidRPr="00A634D9">
        <w:t xml:space="preserve"> επικοινωνία με το Εθνικό Κέντρο Αναφοράς Μηνιγγίτιδας της Σχολής Δημόσιας Υγείας</w:t>
      </w:r>
      <w:r w:rsidR="00AA5132" w:rsidRPr="00A634D9">
        <w:t>, Πανεπιστήμιο Δυτικής Αττικής</w:t>
      </w:r>
      <w:r w:rsidR="009B0B14" w:rsidRPr="00A634D9">
        <w:t>. Ακολουθεί επικοινωνία με το νοσοκομείο όπου νοσηλεύεται ο</w:t>
      </w:r>
      <w:r w:rsidR="009B0B14" w:rsidRPr="007D222B">
        <w:rPr>
          <w:rFonts w:ascii="Arial" w:hAnsi="Arial" w:cs="Arial"/>
        </w:rPr>
        <w:t xml:space="preserve"> </w:t>
      </w:r>
      <w:r w:rsidR="009B0B14" w:rsidRPr="00A634D9">
        <w:rPr>
          <w:rFonts w:asciiTheme="minorHAnsi" w:hAnsiTheme="minorHAnsi" w:cstheme="minorHAnsi"/>
        </w:rPr>
        <w:t xml:space="preserve">ασθενής προκειμένου να ληφθούν συμπληρωματικές πληροφορίες σχετικά με την κλινική εικόνα και τα εργαστηριακά ευρήματα του ασθενούς. Κεφαλαιώδους σημασίας είναι η αιτιολογική κατάταξη του κρούσματος </w:t>
      </w:r>
      <w:r w:rsidR="00654DE2" w:rsidRPr="00A634D9">
        <w:rPr>
          <w:rFonts w:asciiTheme="minorHAnsi" w:hAnsiTheme="minorHAnsi" w:cstheme="minorHAnsi"/>
        </w:rPr>
        <w:t xml:space="preserve">μηνιγγίτιδας </w:t>
      </w:r>
      <w:r w:rsidR="009B0B14" w:rsidRPr="00A634D9">
        <w:rPr>
          <w:rFonts w:asciiTheme="minorHAnsi" w:hAnsiTheme="minorHAnsi" w:cstheme="minorHAnsi"/>
        </w:rPr>
        <w:t xml:space="preserve">προκειμένου να ληφθούν σε συνεργασία με τη Διεύθυνση </w:t>
      </w:r>
      <w:r w:rsidR="00070E75" w:rsidRPr="00A634D9">
        <w:rPr>
          <w:rFonts w:asciiTheme="minorHAnsi" w:hAnsiTheme="minorHAnsi" w:cstheme="minorHAnsi"/>
        </w:rPr>
        <w:t xml:space="preserve">Δημόσιας </w:t>
      </w:r>
      <w:r w:rsidR="009B0B14" w:rsidRPr="00A634D9">
        <w:rPr>
          <w:rFonts w:asciiTheme="minorHAnsi" w:hAnsiTheme="minorHAnsi" w:cstheme="minorHAnsi"/>
        </w:rPr>
        <w:t xml:space="preserve">Υγείας όλα τα απαραίτητα μέτρα </w:t>
      </w:r>
      <w:r w:rsidR="009B0B14" w:rsidRPr="00A634D9">
        <w:rPr>
          <w:rFonts w:asciiTheme="minorHAnsi" w:hAnsiTheme="minorHAnsi" w:cstheme="minorHAnsi"/>
        </w:rPr>
        <w:lastRenderedPageBreak/>
        <w:t xml:space="preserve">(χημειοπροφύλαξη </w:t>
      </w:r>
      <w:r w:rsidR="00654DE2" w:rsidRPr="00A634D9">
        <w:rPr>
          <w:rFonts w:asciiTheme="minorHAnsi" w:hAnsiTheme="minorHAnsi" w:cstheme="minorHAnsi"/>
        </w:rPr>
        <w:t>αν πρόκειται για κρούσμα μηνιγγιτιδοκοκκικής νόσου</w:t>
      </w:r>
      <w:r w:rsidR="00B44839" w:rsidRPr="00A634D9">
        <w:rPr>
          <w:rFonts w:asciiTheme="minorHAnsi" w:hAnsiTheme="minorHAnsi" w:cstheme="minorHAnsi"/>
        </w:rPr>
        <w:t xml:space="preserve"> </w:t>
      </w:r>
      <w:r w:rsidR="00A24A99" w:rsidRPr="00A634D9">
        <w:rPr>
          <w:rFonts w:asciiTheme="minorHAnsi" w:hAnsiTheme="minorHAnsi" w:cstheme="minorHAnsi"/>
        </w:rPr>
        <w:t>ή</w:t>
      </w:r>
      <w:r w:rsidR="009B00FD" w:rsidRPr="00A634D9">
        <w:rPr>
          <w:rFonts w:asciiTheme="minorHAnsi" w:hAnsiTheme="minorHAnsi" w:cstheme="minorHAnsi"/>
        </w:rPr>
        <w:t>/και</w:t>
      </w:r>
      <w:r w:rsidR="009B0B14" w:rsidRPr="00A634D9">
        <w:rPr>
          <w:rFonts w:asciiTheme="minorHAnsi" w:hAnsiTheme="minorHAnsi" w:cstheme="minorHAnsi"/>
        </w:rPr>
        <w:t xml:space="preserve"> εμβολιασμός) ώστε να αποτραπεί η διασπορά της νόσου σε όλα τα άτομα που ήρθαν σε στενή επαφή με το κρούσμα.</w:t>
      </w:r>
    </w:p>
    <w:p w14:paraId="37AEE238" w14:textId="77777777" w:rsidR="009B0B14" w:rsidRPr="00A50496" w:rsidRDefault="009B0B14" w:rsidP="007A4B69">
      <w:pPr>
        <w:spacing w:after="480"/>
        <w:jc w:val="both"/>
      </w:pPr>
      <w:r w:rsidRPr="00A50496">
        <w:t>Τα στοιχεία καταγράφονται και αναλύονται κατά εβδομάδα, μήνα, έτος, νομαρχία δήλωσης, υπεύθυνο μικροοργανισμό, τύπο κρούσματος, ηλικία και φύλο, προκειμένου να διαπιστωθούν επιδημικές εξάρσεις</w:t>
      </w:r>
      <w:r w:rsidR="001B7E0C" w:rsidRPr="00A50496">
        <w:t>.</w:t>
      </w:r>
    </w:p>
    <w:p w14:paraId="0B821C40" w14:textId="166EE474" w:rsidR="009B0B14" w:rsidRPr="00A50496" w:rsidRDefault="00AF6C6E" w:rsidP="00113825">
      <w:pPr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 xml:space="preserve">Διεισδυτική </w:t>
      </w:r>
      <w:r w:rsidR="009B0B14" w:rsidRPr="00A634D9">
        <w:rPr>
          <w:b/>
          <w:bCs/>
          <w:color w:val="0070C0"/>
          <w:sz w:val="28"/>
          <w:szCs w:val="28"/>
        </w:rPr>
        <w:t xml:space="preserve">Μηνιγγιτιδοκοκκική </w:t>
      </w:r>
      <w:r w:rsidR="002516A8" w:rsidRPr="00A634D9">
        <w:rPr>
          <w:b/>
          <w:bCs/>
          <w:color w:val="0070C0"/>
          <w:sz w:val="28"/>
          <w:szCs w:val="28"/>
        </w:rPr>
        <w:t>Νόσος</w:t>
      </w:r>
      <w:r w:rsidR="00A50496" w:rsidRPr="00A50496">
        <w:rPr>
          <w:b/>
          <w:bCs/>
          <w:color w:val="0070C0"/>
          <w:sz w:val="28"/>
          <w:szCs w:val="28"/>
        </w:rPr>
        <w:t xml:space="preserve"> </w:t>
      </w:r>
    </w:p>
    <w:p w14:paraId="0DCE99E4" w14:textId="3A89BF39" w:rsidR="00820B2C" w:rsidRPr="007A4B69" w:rsidRDefault="00B959D2" w:rsidP="00B959D2">
      <w:pPr>
        <w:jc w:val="both"/>
        <w:rPr>
          <w:color w:val="000000" w:themeColor="text1"/>
        </w:rPr>
      </w:pPr>
      <w:r w:rsidRPr="007A4B69">
        <w:rPr>
          <w:color w:val="000000" w:themeColor="text1"/>
        </w:rPr>
        <w:t xml:space="preserve">Η </w:t>
      </w:r>
      <w:r w:rsidRPr="007A4B69">
        <w:rPr>
          <w:color w:val="000000" w:themeColor="text1"/>
        </w:rPr>
        <w:t>διεισδυτική</w:t>
      </w:r>
      <w:r w:rsidRPr="007A4B69">
        <w:rPr>
          <w:color w:val="000000" w:themeColor="text1"/>
        </w:rPr>
        <w:t xml:space="preserve"> μηνιγγιτιδοκοκκική νόσος (</w:t>
      </w:r>
      <w:r w:rsidRPr="007A4B69">
        <w:rPr>
          <w:color w:val="000000" w:themeColor="text1"/>
        </w:rPr>
        <w:t>ΔΜΝ</w:t>
      </w:r>
      <w:r w:rsidRPr="007A4B69">
        <w:rPr>
          <w:color w:val="000000" w:themeColor="text1"/>
        </w:rPr>
        <w:t xml:space="preserve">) είναι μια </w:t>
      </w:r>
      <w:r w:rsidRPr="007A4B69">
        <w:rPr>
          <w:color w:val="000000" w:themeColor="text1"/>
        </w:rPr>
        <w:t xml:space="preserve">οξεία </w:t>
      </w:r>
      <w:r w:rsidRPr="007A4B69">
        <w:rPr>
          <w:color w:val="000000" w:themeColor="text1"/>
        </w:rPr>
        <w:t xml:space="preserve">σοβαρή βακτηριακή λοίμωξη που προκαλείται από τον </w:t>
      </w:r>
      <w:proofErr w:type="spellStart"/>
      <w:r w:rsidRPr="007A4B69">
        <w:rPr>
          <w:color w:val="000000" w:themeColor="text1"/>
        </w:rPr>
        <w:t>Gram</w:t>
      </w:r>
      <w:proofErr w:type="spellEnd"/>
      <w:r w:rsidRPr="007A4B69">
        <w:rPr>
          <w:color w:val="000000" w:themeColor="text1"/>
        </w:rPr>
        <w:t xml:space="preserve">-αρνητικό </w:t>
      </w:r>
      <w:proofErr w:type="spellStart"/>
      <w:r w:rsidRPr="007A4B69">
        <w:rPr>
          <w:color w:val="000000" w:themeColor="text1"/>
        </w:rPr>
        <w:t>διπλόκοκκο</w:t>
      </w:r>
      <w:proofErr w:type="spellEnd"/>
      <w:r w:rsidRPr="007A4B69">
        <w:rPr>
          <w:color w:val="000000" w:themeColor="text1"/>
        </w:rPr>
        <w:t xml:space="preserve"> </w:t>
      </w:r>
      <w:proofErr w:type="spellStart"/>
      <w:r w:rsidRPr="007A4B69">
        <w:rPr>
          <w:i/>
          <w:iCs/>
          <w:color w:val="000000" w:themeColor="text1"/>
        </w:rPr>
        <w:t>Neisseria</w:t>
      </w:r>
      <w:proofErr w:type="spellEnd"/>
      <w:r w:rsidRPr="007A4B69">
        <w:rPr>
          <w:i/>
          <w:iCs/>
          <w:color w:val="000000" w:themeColor="text1"/>
        </w:rPr>
        <w:t xml:space="preserve"> </w:t>
      </w:r>
      <w:proofErr w:type="spellStart"/>
      <w:r w:rsidRPr="007A4B69">
        <w:rPr>
          <w:i/>
          <w:iCs/>
          <w:color w:val="000000" w:themeColor="text1"/>
        </w:rPr>
        <w:t>meningitidis</w:t>
      </w:r>
      <w:proofErr w:type="spellEnd"/>
      <w:r w:rsidRPr="007A4B69">
        <w:rPr>
          <w:color w:val="000000" w:themeColor="text1"/>
        </w:rPr>
        <w:t>. Το βακτήριο ανιχνεύεται συχνά στο ρινοφάρυγγα χωρίς να προκαλεί νόσο</w:t>
      </w:r>
      <w:r w:rsidR="00820B2C" w:rsidRPr="007A4B69">
        <w:rPr>
          <w:color w:val="000000" w:themeColor="text1"/>
        </w:rPr>
        <w:t xml:space="preserve"> (</w:t>
      </w:r>
      <w:r w:rsidRPr="007A4B69">
        <w:rPr>
          <w:color w:val="000000" w:themeColor="text1"/>
        </w:rPr>
        <w:t>ασυμπτωματική φορεία</w:t>
      </w:r>
      <w:r w:rsidR="00820B2C" w:rsidRPr="007A4B69">
        <w:rPr>
          <w:color w:val="000000" w:themeColor="text1"/>
        </w:rPr>
        <w:t>) αλλά π</w:t>
      </w:r>
      <w:r w:rsidRPr="007A4B69">
        <w:rPr>
          <w:color w:val="000000" w:themeColor="text1"/>
        </w:rPr>
        <w:t>εριστασιακά εισβάλλει στον οργανισμό και προκαλεί μηνιγγιτιδοκοκκική λοίμωξη</w:t>
      </w:r>
      <w:r w:rsidR="007A4B69">
        <w:rPr>
          <w:color w:val="000000" w:themeColor="text1"/>
        </w:rPr>
        <w:t xml:space="preserve"> [</w:t>
      </w:r>
      <w:r w:rsidR="007A4B69" w:rsidRPr="0022762C">
        <w:rPr>
          <w:rFonts w:cs="Times New Roman"/>
          <w:color w:val="0000FF"/>
          <w:kern w:val="2"/>
          <w14:ligatures w14:val="standardContextual"/>
        </w:rPr>
        <w:t>1,2</w:t>
      </w:r>
      <w:r w:rsidR="006B1605" w:rsidRPr="0022762C">
        <w:rPr>
          <w:rFonts w:cs="Times New Roman"/>
          <w:color w:val="0000FF"/>
          <w:kern w:val="2"/>
          <w14:ligatures w14:val="standardContextual"/>
        </w:rPr>
        <w:t>,3</w:t>
      </w:r>
      <w:r w:rsidR="003414BE" w:rsidRPr="0022762C">
        <w:rPr>
          <w:rFonts w:cs="Times New Roman"/>
          <w:color w:val="0000FF"/>
          <w:kern w:val="2"/>
          <w14:ligatures w14:val="standardContextual"/>
        </w:rPr>
        <w:t>,4</w:t>
      </w:r>
      <w:r w:rsidR="007A4B69">
        <w:rPr>
          <w:color w:val="000000" w:themeColor="text1"/>
        </w:rPr>
        <w:t>]</w:t>
      </w:r>
      <w:r w:rsidRPr="007A4B69">
        <w:rPr>
          <w:color w:val="000000" w:themeColor="text1"/>
        </w:rPr>
        <w:t>.</w:t>
      </w:r>
      <w:r w:rsidR="007A4B69">
        <w:rPr>
          <w:color w:val="000000" w:themeColor="text1"/>
        </w:rPr>
        <w:t xml:space="preserve"> </w:t>
      </w:r>
      <w:r w:rsidR="00820B2C" w:rsidRPr="007A4B69">
        <w:rPr>
          <w:color w:val="000000" w:themeColor="text1"/>
        </w:rPr>
        <w:t xml:space="preserve">Οι </w:t>
      </w:r>
      <w:proofErr w:type="spellStart"/>
      <w:r w:rsidR="00820B2C" w:rsidRPr="007A4B69">
        <w:rPr>
          <w:color w:val="000000" w:themeColor="text1"/>
        </w:rPr>
        <w:t>μηνιγγιτιδόκοκκοι</w:t>
      </w:r>
      <w:proofErr w:type="spellEnd"/>
      <w:r w:rsidR="00820B2C" w:rsidRPr="007A4B69">
        <w:rPr>
          <w:color w:val="000000" w:themeColor="text1"/>
        </w:rPr>
        <w:t xml:space="preserve"> μεταδίδονται από άτομο σε άτομο μέσω αναπνευστικών σταγονιδίων ή εκκρίσεων από άτομα με ασυμπτωματική </w:t>
      </w:r>
      <w:r w:rsidR="00820B2C" w:rsidRPr="007A4B69">
        <w:rPr>
          <w:color w:val="000000" w:themeColor="text1"/>
        </w:rPr>
        <w:t>φορεία</w:t>
      </w:r>
      <w:r w:rsidR="00820B2C" w:rsidRPr="007A4B69">
        <w:rPr>
          <w:color w:val="000000" w:themeColor="text1"/>
        </w:rPr>
        <w:t xml:space="preserve"> ή με μηνιγγιτιδοκοκκική νόσο</w:t>
      </w:r>
      <w:r w:rsidR="006B1605" w:rsidRPr="006B1605">
        <w:rPr>
          <w:color w:val="000000" w:themeColor="text1"/>
        </w:rPr>
        <w:t xml:space="preserve"> [</w:t>
      </w:r>
      <w:r w:rsidR="006B1605" w:rsidRPr="0022762C">
        <w:rPr>
          <w:rFonts w:cs="Times New Roman"/>
          <w:color w:val="0000FF"/>
          <w:kern w:val="2"/>
          <w14:ligatures w14:val="standardContextual"/>
        </w:rPr>
        <w:t>1,2,3</w:t>
      </w:r>
      <w:r w:rsidR="003414BE" w:rsidRPr="0022762C">
        <w:rPr>
          <w:rFonts w:cs="Times New Roman"/>
          <w:color w:val="0000FF"/>
          <w:kern w:val="2"/>
          <w14:ligatures w14:val="standardContextual"/>
        </w:rPr>
        <w:t>,4</w:t>
      </w:r>
      <w:r w:rsidR="006B1605" w:rsidRPr="006B1605">
        <w:rPr>
          <w:color w:val="000000" w:themeColor="text1"/>
        </w:rPr>
        <w:t>]</w:t>
      </w:r>
      <w:r w:rsidR="00820B2C" w:rsidRPr="007A4B69">
        <w:rPr>
          <w:color w:val="000000" w:themeColor="text1"/>
        </w:rPr>
        <w:t>.</w:t>
      </w:r>
      <w:r w:rsidR="007A4B69">
        <w:rPr>
          <w:color w:val="000000" w:themeColor="text1"/>
        </w:rPr>
        <w:t xml:space="preserve"> </w:t>
      </w:r>
      <w:r w:rsidR="00820B2C" w:rsidRPr="007A4B69">
        <w:rPr>
          <w:color w:val="000000" w:themeColor="text1"/>
        </w:rPr>
        <w:t xml:space="preserve">Σχεδόν όλα τα αναφερόμενα περιστατικά </w:t>
      </w:r>
      <w:r w:rsidR="00820B2C" w:rsidRPr="007A4B69">
        <w:rPr>
          <w:color w:val="000000" w:themeColor="text1"/>
        </w:rPr>
        <w:t>διεισδυτικής</w:t>
      </w:r>
      <w:r w:rsidR="00820B2C" w:rsidRPr="007A4B69">
        <w:rPr>
          <w:color w:val="000000" w:themeColor="text1"/>
        </w:rPr>
        <w:t xml:space="preserve"> νόσου παγκοσμίως προκαλούνται από </w:t>
      </w:r>
      <w:r w:rsidR="00820B2C" w:rsidRPr="007A4B69">
        <w:rPr>
          <w:color w:val="000000" w:themeColor="text1"/>
        </w:rPr>
        <w:t>μια</w:t>
      </w:r>
      <w:r w:rsidR="00820B2C" w:rsidRPr="007A4B69">
        <w:rPr>
          <w:color w:val="000000" w:themeColor="text1"/>
        </w:rPr>
        <w:t xml:space="preserve"> από τ</w:t>
      </w:r>
      <w:r w:rsidR="00820B2C" w:rsidRPr="007A4B69">
        <w:rPr>
          <w:color w:val="000000" w:themeColor="text1"/>
        </w:rPr>
        <w:t>ι</w:t>
      </w:r>
      <w:r w:rsidR="00820B2C" w:rsidRPr="007A4B69">
        <w:rPr>
          <w:color w:val="000000" w:themeColor="text1"/>
        </w:rPr>
        <w:t xml:space="preserve">ς έξι </w:t>
      </w:r>
      <w:proofErr w:type="spellStart"/>
      <w:r w:rsidR="00820B2C" w:rsidRPr="007A4B69">
        <w:rPr>
          <w:color w:val="000000" w:themeColor="text1"/>
        </w:rPr>
        <w:t>οροομάδες</w:t>
      </w:r>
      <w:proofErr w:type="spellEnd"/>
      <w:r w:rsidR="00820B2C" w:rsidRPr="007A4B69">
        <w:rPr>
          <w:color w:val="000000" w:themeColor="text1"/>
        </w:rPr>
        <w:t>: A, B, C, W, X και Y</w:t>
      </w:r>
      <w:r w:rsidR="00D94A44" w:rsidRPr="00D94A44">
        <w:rPr>
          <w:color w:val="000000" w:themeColor="text1"/>
        </w:rPr>
        <w:t xml:space="preserve"> [</w:t>
      </w:r>
      <w:r w:rsidR="00D94A44" w:rsidRPr="0022762C">
        <w:rPr>
          <w:color w:val="0000FF"/>
        </w:rPr>
        <w:t>2</w:t>
      </w:r>
      <w:r w:rsidR="00D94A44" w:rsidRPr="00D94A44">
        <w:rPr>
          <w:color w:val="000000" w:themeColor="text1"/>
        </w:rPr>
        <w:t>]</w:t>
      </w:r>
      <w:r w:rsidR="00820B2C" w:rsidRPr="007A4B69">
        <w:rPr>
          <w:color w:val="000000" w:themeColor="text1"/>
        </w:rPr>
        <w:t>.</w:t>
      </w:r>
    </w:p>
    <w:p w14:paraId="0C953167" w14:textId="7A2E7BA4" w:rsidR="00820B2C" w:rsidRPr="003414BE" w:rsidRDefault="00820B2C" w:rsidP="00820B2C">
      <w:pPr>
        <w:jc w:val="both"/>
        <w:rPr>
          <w:color w:val="000000" w:themeColor="text1"/>
        </w:rPr>
      </w:pPr>
      <w:r w:rsidRPr="007A4B69">
        <w:rPr>
          <w:color w:val="000000" w:themeColor="text1"/>
        </w:rPr>
        <w:t xml:space="preserve">Η μηνιγγίτιδα αποτελεί την πιο συχνή κλινική εκδήλωση της </w:t>
      </w:r>
      <w:r w:rsidRPr="007A4B69">
        <w:rPr>
          <w:color w:val="000000" w:themeColor="text1"/>
        </w:rPr>
        <w:t>ΔΜΝ</w:t>
      </w:r>
      <w:r w:rsidR="005441AA" w:rsidRPr="005441AA">
        <w:rPr>
          <w:color w:val="000000" w:themeColor="text1"/>
        </w:rPr>
        <w:t xml:space="preserve"> [</w:t>
      </w:r>
      <w:r w:rsidR="005441AA" w:rsidRPr="0022762C">
        <w:rPr>
          <w:color w:val="0000FF"/>
        </w:rPr>
        <w:t>2,4</w:t>
      </w:r>
      <w:r w:rsidR="005441AA" w:rsidRPr="005441AA">
        <w:rPr>
          <w:color w:val="000000" w:themeColor="text1"/>
        </w:rPr>
        <w:t>]</w:t>
      </w:r>
      <w:r w:rsidRPr="007A4B69">
        <w:rPr>
          <w:color w:val="000000" w:themeColor="text1"/>
        </w:rPr>
        <w:t xml:space="preserve">. </w:t>
      </w:r>
      <w:r w:rsidRPr="007A4B69">
        <w:rPr>
          <w:color w:val="000000" w:themeColor="text1"/>
        </w:rPr>
        <w:t xml:space="preserve">Τα συμπτώματα είναι παρόμοια με εκείνα άλλων μορφών </w:t>
      </w:r>
      <w:proofErr w:type="spellStart"/>
      <w:r w:rsidRPr="007A4B69">
        <w:rPr>
          <w:color w:val="000000" w:themeColor="text1"/>
        </w:rPr>
        <w:t>βακτηριακής</w:t>
      </w:r>
      <w:proofErr w:type="spellEnd"/>
      <w:r w:rsidRPr="007A4B69">
        <w:rPr>
          <w:color w:val="000000" w:themeColor="text1"/>
        </w:rPr>
        <w:t xml:space="preserve"> μηνιγγίτιδας και συνήθως περιλαμβάνουν αιφνίδια έναρξη πυρετού, κεφαλαλγία και </w:t>
      </w:r>
      <w:r w:rsidRPr="007A4B69">
        <w:rPr>
          <w:color w:val="000000" w:themeColor="text1"/>
        </w:rPr>
        <w:t xml:space="preserve">αυχενική </w:t>
      </w:r>
      <w:r w:rsidRPr="007A4B69">
        <w:rPr>
          <w:color w:val="000000" w:themeColor="text1"/>
        </w:rPr>
        <w:t xml:space="preserve">δυσκαμψία, συχνά συνοδευόμενα από ναυτία, έμετο, φωτοφοβία  και μεταβολή του επιπέδου συνείδησης. Η μηνιγγιτιδοκοκκική σηψαιμία (λοίμωξη του αίματος ή </w:t>
      </w:r>
      <w:proofErr w:type="spellStart"/>
      <w:r w:rsidRPr="007A4B69">
        <w:rPr>
          <w:color w:val="000000" w:themeColor="text1"/>
        </w:rPr>
        <w:t>μηνιγγιτιδοκοκκαιμία</w:t>
      </w:r>
      <w:proofErr w:type="spellEnd"/>
      <w:r w:rsidRPr="007A4B69">
        <w:rPr>
          <w:color w:val="000000" w:themeColor="text1"/>
        </w:rPr>
        <w:t xml:space="preserve">) εμφανίζεται χωρίς μηνιγγίτιδα σε περίπου 30% των </w:t>
      </w:r>
      <w:r w:rsidR="00846D47">
        <w:rPr>
          <w:color w:val="000000" w:themeColor="text1"/>
        </w:rPr>
        <w:t>διεισδυτικών</w:t>
      </w:r>
      <w:r w:rsidRPr="007A4B69">
        <w:rPr>
          <w:color w:val="000000" w:themeColor="text1"/>
        </w:rPr>
        <w:t xml:space="preserve"> </w:t>
      </w:r>
      <w:proofErr w:type="spellStart"/>
      <w:r w:rsidRPr="007A4B69">
        <w:rPr>
          <w:color w:val="000000" w:themeColor="text1"/>
        </w:rPr>
        <w:t>μηνιγγιτιδοκοκκικών</w:t>
      </w:r>
      <w:proofErr w:type="spellEnd"/>
      <w:r w:rsidRPr="007A4B69">
        <w:rPr>
          <w:color w:val="000000" w:themeColor="text1"/>
        </w:rPr>
        <w:t xml:space="preserve"> λοιμώξεων. Η κατάσταση αυτή χαρακτηρίζεται από αιφνίδια έναρξη πυρετού, ρίγη, ψυχρά άκρα, έντονους πόνους στους μύες, τις αρθρώσεις, το θώρακα ή την κοιλιά, έμετο, διάρροια και </w:t>
      </w:r>
      <w:proofErr w:type="spellStart"/>
      <w:r w:rsidRPr="007A4B69">
        <w:rPr>
          <w:color w:val="000000" w:themeColor="text1"/>
        </w:rPr>
        <w:t>πετεχειώδες</w:t>
      </w:r>
      <w:proofErr w:type="spellEnd"/>
      <w:r w:rsidRPr="007A4B69">
        <w:rPr>
          <w:color w:val="000000" w:themeColor="text1"/>
        </w:rPr>
        <w:t xml:space="preserve"> ή </w:t>
      </w:r>
      <w:proofErr w:type="spellStart"/>
      <w:r w:rsidRPr="007A4B69">
        <w:rPr>
          <w:color w:val="000000" w:themeColor="text1"/>
        </w:rPr>
        <w:t>πορφυρικό</w:t>
      </w:r>
      <w:proofErr w:type="spellEnd"/>
      <w:r w:rsidRPr="007A4B69">
        <w:rPr>
          <w:color w:val="000000" w:themeColor="text1"/>
        </w:rPr>
        <w:t xml:space="preserve"> εξάνθημα, το οποίο συχνά συνοδεύεται από υπόταση, καταπληξία, οξεία αιμορραγία των επινεφριδίων και </w:t>
      </w:r>
      <w:proofErr w:type="spellStart"/>
      <w:r w:rsidRPr="007A4B69">
        <w:rPr>
          <w:color w:val="000000" w:themeColor="text1"/>
        </w:rPr>
        <w:t>πολυοργανική</w:t>
      </w:r>
      <w:proofErr w:type="spellEnd"/>
      <w:r w:rsidRPr="007A4B69">
        <w:rPr>
          <w:color w:val="000000" w:themeColor="text1"/>
        </w:rPr>
        <w:t xml:space="preserve"> ανεπάρκεια</w:t>
      </w:r>
      <w:r w:rsidR="007A4B69" w:rsidRPr="007A4B69">
        <w:rPr>
          <w:color w:val="000000" w:themeColor="text1"/>
        </w:rPr>
        <w:t>.</w:t>
      </w:r>
      <w:r w:rsidR="00D94A44" w:rsidRPr="00D94A44">
        <w:rPr>
          <w:color w:val="000000" w:themeColor="text1"/>
        </w:rPr>
        <w:t xml:space="preserve"> </w:t>
      </w:r>
      <w:r w:rsidR="00D94A44" w:rsidRPr="003414BE">
        <w:rPr>
          <w:color w:val="000000" w:themeColor="text1"/>
        </w:rPr>
        <w:t>[</w:t>
      </w:r>
      <w:r w:rsidR="00D94A44" w:rsidRPr="0022762C">
        <w:rPr>
          <w:color w:val="0000FF"/>
        </w:rPr>
        <w:t>2</w:t>
      </w:r>
      <w:r w:rsidR="00846D47" w:rsidRPr="0022762C">
        <w:rPr>
          <w:color w:val="0000FF"/>
        </w:rPr>
        <w:t>,</w:t>
      </w:r>
      <w:r w:rsidR="005441AA" w:rsidRPr="0022762C">
        <w:rPr>
          <w:color w:val="0000FF"/>
          <w:lang w:val="en-US"/>
        </w:rPr>
        <w:t>4,</w:t>
      </w:r>
      <w:r w:rsidR="003414BE" w:rsidRPr="0022762C">
        <w:rPr>
          <w:color w:val="0000FF"/>
        </w:rPr>
        <w:t>5</w:t>
      </w:r>
      <w:r w:rsidR="00D94A44" w:rsidRPr="003414BE">
        <w:rPr>
          <w:color w:val="000000" w:themeColor="text1"/>
        </w:rPr>
        <w:t>]</w:t>
      </w:r>
    </w:p>
    <w:p w14:paraId="35038A0A" w14:textId="45F7CDE8" w:rsidR="00820B2C" w:rsidRPr="007A4B69" w:rsidRDefault="007A4B69" w:rsidP="007A4B69">
      <w:pPr>
        <w:spacing w:after="480"/>
        <w:jc w:val="both"/>
        <w:rPr>
          <w:color w:val="000000" w:themeColor="text1"/>
        </w:rPr>
      </w:pPr>
      <w:r w:rsidRPr="007A4B69">
        <w:rPr>
          <w:color w:val="000000" w:themeColor="text1"/>
        </w:rPr>
        <w:t>Η ΔΜΝ α</w:t>
      </w:r>
      <w:r w:rsidRPr="007A4B69">
        <w:rPr>
          <w:color w:val="000000" w:themeColor="text1"/>
        </w:rPr>
        <w:t xml:space="preserve">ποτελεί σημαντικό </w:t>
      </w:r>
      <w:r w:rsidRPr="007A4B69">
        <w:rPr>
          <w:color w:val="000000" w:themeColor="text1"/>
        </w:rPr>
        <w:t>θέμα</w:t>
      </w:r>
      <w:r w:rsidRPr="007A4B69">
        <w:rPr>
          <w:color w:val="000000" w:themeColor="text1"/>
        </w:rPr>
        <w:t xml:space="preserve"> δημόσιας υγείας λόγω της σοβαρής νοσηρότητας και του σχετικά υψηλού ποσοστού θνητότητας (8–15%)</w:t>
      </w:r>
      <w:r w:rsidR="006B1605" w:rsidRPr="006B1605">
        <w:rPr>
          <w:color w:val="000000" w:themeColor="text1"/>
        </w:rPr>
        <w:t xml:space="preserve"> [</w:t>
      </w:r>
      <w:r w:rsidR="00D94A44" w:rsidRPr="0022762C">
        <w:rPr>
          <w:color w:val="0000FF"/>
        </w:rPr>
        <w:t>2</w:t>
      </w:r>
      <w:r w:rsidR="006B1605" w:rsidRPr="0022762C">
        <w:rPr>
          <w:color w:val="0000FF"/>
        </w:rPr>
        <w:t>,3</w:t>
      </w:r>
      <w:r w:rsidR="003414BE" w:rsidRPr="0022762C">
        <w:rPr>
          <w:color w:val="0000FF"/>
        </w:rPr>
        <w:t>,4</w:t>
      </w:r>
      <w:r w:rsidR="006B1605" w:rsidRPr="006B1605">
        <w:rPr>
          <w:color w:val="000000" w:themeColor="text1"/>
        </w:rPr>
        <w:t>]</w:t>
      </w:r>
      <w:r w:rsidRPr="007A4B69">
        <w:rPr>
          <w:color w:val="000000" w:themeColor="text1"/>
        </w:rPr>
        <w:t>.</w:t>
      </w:r>
      <w:r w:rsidRPr="007A4B69">
        <w:rPr>
          <w:color w:val="000000" w:themeColor="text1"/>
        </w:rPr>
        <w:t xml:space="preserve"> Σημειώνεται ότι </w:t>
      </w:r>
      <w:r w:rsidRPr="007A4B69">
        <w:rPr>
          <w:color w:val="000000" w:themeColor="text1"/>
        </w:rPr>
        <w:t>ως 20% των επιζώντων παρουσιάζουν μόνιμες επιπλοκές, όπως απώλεια ακοής, νευρολογική βλάβη ή απώλεια άκρου</w:t>
      </w:r>
      <w:r w:rsidR="00D94A44" w:rsidRPr="00D94A44">
        <w:rPr>
          <w:color w:val="000000" w:themeColor="text1"/>
        </w:rPr>
        <w:t xml:space="preserve">  [</w:t>
      </w:r>
      <w:r w:rsidR="00D94A44" w:rsidRPr="0022762C">
        <w:rPr>
          <w:color w:val="0000FF"/>
        </w:rPr>
        <w:t>2</w:t>
      </w:r>
      <w:r w:rsidR="003414BE" w:rsidRPr="0022762C">
        <w:rPr>
          <w:color w:val="0000FF"/>
        </w:rPr>
        <w:t>,6</w:t>
      </w:r>
      <w:r w:rsidR="00D94A44" w:rsidRPr="00D94A44">
        <w:rPr>
          <w:color w:val="000000" w:themeColor="text1"/>
        </w:rPr>
        <w:t>]</w:t>
      </w:r>
      <w:r w:rsidRPr="007A4B69">
        <w:rPr>
          <w:color w:val="000000" w:themeColor="text1"/>
        </w:rPr>
        <w:t>.</w:t>
      </w:r>
    </w:p>
    <w:p w14:paraId="19827F1F" w14:textId="678718A7" w:rsidR="009B0B14" w:rsidRPr="00A634D9" w:rsidRDefault="009B0B14" w:rsidP="00113825">
      <w:pPr>
        <w:jc w:val="both"/>
        <w:rPr>
          <w:b/>
          <w:bCs/>
          <w:color w:val="0070C0"/>
        </w:rPr>
      </w:pPr>
      <w:r w:rsidRPr="00A634D9">
        <w:rPr>
          <w:b/>
          <w:bCs/>
          <w:color w:val="0070C0"/>
        </w:rPr>
        <w:t>Διαχρονική τάση</w:t>
      </w:r>
    </w:p>
    <w:p w14:paraId="3E5380C2" w14:textId="7E4318BA" w:rsidR="00950685" w:rsidRPr="00A634D9" w:rsidRDefault="00B53585" w:rsidP="00374BB8">
      <w:pPr>
        <w:jc w:val="both"/>
      </w:pPr>
      <w:r w:rsidRPr="00A634D9">
        <w:t>Στην χρονική περίοδο 2004-20</w:t>
      </w:r>
      <w:r w:rsidR="00775071" w:rsidRPr="00A634D9">
        <w:t>2</w:t>
      </w:r>
      <w:r w:rsidR="00DB1F6C" w:rsidRPr="00A634D9">
        <w:t>5</w:t>
      </w:r>
      <w:r w:rsidR="009B0B14" w:rsidRPr="00A634D9">
        <w:t xml:space="preserve"> δηλώθηκαν</w:t>
      </w:r>
      <w:r w:rsidR="0047328E" w:rsidRPr="00A634D9">
        <w:t xml:space="preserve"> μέσω του συστήματος υποχρεωτικής δήλωσης νοσημάτων</w:t>
      </w:r>
      <w:r w:rsidR="009B0B14" w:rsidRPr="00A634D9">
        <w:t xml:space="preserve"> στο</w:t>
      </w:r>
      <w:r w:rsidR="0047328E" w:rsidRPr="00A634D9">
        <w:t>ν</w:t>
      </w:r>
      <w:r w:rsidR="009B0B14" w:rsidRPr="00A634D9">
        <w:t xml:space="preserve"> </w:t>
      </w:r>
      <w:r w:rsidR="00204DB0" w:rsidRPr="00A634D9">
        <w:t>ΕΟΔΥ</w:t>
      </w:r>
      <w:r w:rsidR="0047328E" w:rsidRPr="00A634D9">
        <w:t>,</w:t>
      </w:r>
      <w:r w:rsidR="009B0B14" w:rsidRPr="00A634D9">
        <w:t xml:space="preserve"> συνολικά </w:t>
      </w:r>
      <w:r w:rsidR="00C0470D" w:rsidRPr="00A634D9">
        <w:t>1.</w:t>
      </w:r>
      <w:r w:rsidR="00C16ADB" w:rsidRPr="00A634D9">
        <w:t>2</w:t>
      </w:r>
      <w:r w:rsidR="006F6FCE" w:rsidRPr="00A634D9">
        <w:t>12</w:t>
      </w:r>
      <w:r w:rsidR="009B0B14" w:rsidRPr="00A634D9">
        <w:t xml:space="preserve"> κρούσματα </w:t>
      </w:r>
      <w:r w:rsidR="00A50496">
        <w:t>ΔΜΝ</w:t>
      </w:r>
      <w:r w:rsidR="009B0B14" w:rsidRPr="00A634D9">
        <w:t xml:space="preserve">, με τα κρούσματα να κυμαίνονται μεταξύ </w:t>
      </w:r>
      <w:r w:rsidR="00DE5521" w:rsidRPr="00A634D9">
        <w:t>4</w:t>
      </w:r>
      <w:r w:rsidR="009B0B14" w:rsidRPr="00A634D9">
        <w:t xml:space="preserve"> και </w:t>
      </w:r>
      <w:r w:rsidR="00DF0208" w:rsidRPr="00A634D9">
        <w:t>1</w:t>
      </w:r>
      <w:r w:rsidR="006F6FCE" w:rsidRPr="00A634D9">
        <w:t>14</w:t>
      </w:r>
      <w:r w:rsidR="009B0B14" w:rsidRPr="00A634D9">
        <w:t xml:space="preserve"> ανά έτος και </w:t>
      </w:r>
      <w:r w:rsidR="00616473" w:rsidRPr="00A634D9">
        <w:t>τ</w:t>
      </w:r>
      <w:r w:rsidR="009B0B14" w:rsidRPr="00A634D9">
        <w:t xml:space="preserve">η μέση </w:t>
      </w:r>
      <w:r w:rsidR="009A08C6" w:rsidRPr="00A634D9">
        <w:t xml:space="preserve">ετήσια </w:t>
      </w:r>
      <w:r w:rsidR="009B0B14" w:rsidRPr="00A634D9">
        <w:t>δηλούμενη επίπτωσ</w:t>
      </w:r>
      <w:r w:rsidR="00A82EB1" w:rsidRPr="00A634D9">
        <w:t>η</w:t>
      </w:r>
      <w:r w:rsidR="009B0B14" w:rsidRPr="00A634D9">
        <w:t xml:space="preserve"> </w:t>
      </w:r>
      <w:r w:rsidR="001B7E0C" w:rsidRPr="00A634D9">
        <w:t>να ανέρχεται</w:t>
      </w:r>
      <w:r w:rsidR="009B0B14" w:rsidRPr="00A634D9">
        <w:t xml:space="preserve"> </w:t>
      </w:r>
      <w:r w:rsidR="006204B8" w:rsidRPr="00A634D9">
        <w:t xml:space="preserve">στα </w:t>
      </w:r>
      <w:r w:rsidR="00732DE8" w:rsidRPr="00A634D9">
        <w:rPr>
          <w:color w:val="000000"/>
          <w:lang w:eastAsia="el-GR"/>
        </w:rPr>
        <w:t>0,</w:t>
      </w:r>
      <w:r w:rsidR="00DE5521" w:rsidRPr="00A634D9">
        <w:rPr>
          <w:color w:val="000000"/>
          <w:lang w:eastAsia="el-GR"/>
        </w:rPr>
        <w:t>5</w:t>
      </w:r>
      <w:r w:rsidR="00C16ADB" w:rsidRPr="00A634D9">
        <w:rPr>
          <w:color w:val="000000"/>
          <w:lang w:eastAsia="el-GR"/>
        </w:rPr>
        <w:t>0</w:t>
      </w:r>
      <w:r w:rsidR="009B0B14" w:rsidRPr="00A634D9">
        <w:rPr>
          <w:color w:val="000000"/>
          <w:lang w:eastAsia="el-GR"/>
        </w:rPr>
        <w:t xml:space="preserve"> </w:t>
      </w:r>
      <w:r w:rsidR="009B0B14" w:rsidRPr="00A634D9">
        <w:t xml:space="preserve">κρούσματα ανά 100.000 πληθυσμού. </w:t>
      </w:r>
      <w:r w:rsidR="00D63996" w:rsidRPr="00A634D9">
        <w:t>Η</w:t>
      </w:r>
      <w:r w:rsidR="009B0B14" w:rsidRPr="00A634D9">
        <w:t xml:space="preserve"> επίπτωση του νοσήματος </w:t>
      </w:r>
      <w:r w:rsidR="00D628CE" w:rsidRPr="00A634D9">
        <w:t xml:space="preserve">παρουσίασε σημαντική πτωτική πορεία </w:t>
      </w:r>
      <w:r w:rsidR="00D63996" w:rsidRPr="00A634D9">
        <w:t>από το 2013</w:t>
      </w:r>
      <w:r w:rsidR="00654DE2" w:rsidRPr="00A634D9">
        <w:t xml:space="preserve"> έως </w:t>
      </w:r>
      <w:r w:rsidR="00CC0B93" w:rsidRPr="00A634D9">
        <w:t>το 2022</w:t>
      </w:r>
      <w:r w:rsidR="00A055F8" w:rsidRPr="00A634D9">
        <w:t xml:space="preserve"> (</w:t>
      </w:r>
      <w:r w:rsidR="00A055F8" w:rsidRPr="00A634D9">
        <w:rPr>
          <w:color w:val="0000FF"/>
        </w:rPr>
        <w:t>Γράφημα 1</w:t>
      </w:r>
      <w:r w:rsidR="00A055F8" w:rsidRPr="00A634D9">
        <w:t>)</w:t>
      </w:r>
      <w:r w:rsidR="00D628CE" w:rsidRPr="00A634D9">
        <w:t xml:space="preserve">. </w:t>
      </w:r>
      <w:r w:rsidR="00CC0B93" w:rsidRPr="00A634D9">
        <w:t xml:space="preserve">Ειδικά την περίοδο της πανδημίας </w:t>
      </w:r>
      <w:r w:rsidR="00920646" w:rsidRPr="00A634D9">
        <w:rPr>
          <w:lang w:val="en-US"/>
        </w:rPr>
        <w:t>COVID</w:t>
      </w:r>
      <w:r w:rsidR="00920646" w:rsidRPr="00A634D9">
        <w:t xml:space="preserve">-19 </w:t>
      </w:r>
      <w:r w:rsidR="00CC0B93" w:rsidRPr="00A634D9">
        <w:t xml:space="preserve">η επίπτωση της νόσου έφτασε στα χαμηλότερά της επίπεδα και αυτό αποδόθηκε στην εφαρμογή </w:t>
      </w:r>
      <w:r w:rsidR="00E348B2" w:rsidRPr="00A634D9">
        <w:t>περιοριστικών μέτρων (κοινωνική αποστασιοποίηση, χρήση μάσκας, κλείσιμο σχολείων).</w:t>
      </w:r>
      <w:r w:rsidR="00CC0B93" w:rsidRPr="00A634D9">
        <w:t xml:space="preserve"> </w:t>
      </w:r>
      <w:r w:rsidR="00A615F6" w:rsidRPr="00A634D9">
        <w:t xml:space="preserve">Κατά </w:t>
      </w:r>
      <w:r w:rsidR="00C16ADB" w:rsidRPr="00A634D9">
        <w:t>την περίοδο</w:t>
      </w:r>
      <w:r w:rsidR="00A615F6" w:rsidRPr="00A634D9">
        <w:t xml:space="preserve"> </w:t>
      </w:r>
      <w:r w:rsidR="00CC0B93" w:rsidRPr="00A634D9">
        <w:t>2023</w:t>
      </w:r>
      <w:r w:rsidR="00C16ADB" w:rsidRPr="00A634D9">
        <w:t>-</w:t>
      </w:r>
      <w:r w:rsidR="00A615F6" w:rsidRPr="00A634D9">
        <w:t>202</w:t>
      </w:r>
      <w:r w:rsidR="00C16ADB" w:rsidRPr="00A634D9">
        <w:t>5</w:t>
      </w:r>
      <w:r w:rsidR="00A615F6" w:rsidRPr="00A634D9">
        <w:t xml:space="preserve"> </w:t>
      </w:r>
      <w:r w:rsidR="00CC0B93" w:rsidRPr="00A634D9">
        <w:t xml:space="preserve">η επίπτωση της νόσου </w:t>
      </w:r>
      <w:r w:rsidR="00C22E83" w:rsidRPr="00A634D9">
        <w:t>επανήλθε στα χαμηλά προπανδημικά επίπεδα</w:t>
      </w:r>
      <w:r w:rsidR="00CC0B93" w:rsidRPr="00A634D9">
        <w:t>.</w:t>
      </w:r>
    </w:p>
    <w:p w14:paraId="1EE26087" w14:textId="77777777" w:rsidR="007A4B69" w:rsidRDefault="007A4B69" w:rsidP="002907E2">
      <w:pPr>
        <w:jc w:val="both"/>
        <w:rPr>
          <w:b/>
          <w:bCs/>
          <w:color w:val="0000FF"/>
        </w:rPr>
      </w:pPr>
    </w:p>
    <w:p w14:paraId="5A0895FD" w14:textId="77777777" w:rsidR="007A4B69" w:rsidRDefault="007A4B69" w:rsidP="002907E2">
      <w:pPr>
        <w:jc w:val="both"/>
        <w:rPr>
          <w:b/>
          <w:bCs/>
          <w:color w:val="0000FF"/>
        </w:rPr>
      </w:pPr>
    </w:p>
    <w:p w14:paraId="472BF3F1" w14:textId="6D9DCE84" w:rsidR="009B0B14" w:rsidRPr="00A634D9" w:rsidRDefault="009B0B14" w:rsidP="002907E2">
      <w:pPr>
        <w:jc w:val="both"/>
      </w:pPr>
      <w:r w:rsidRPr="00A634D9">
        <w:rPr>
          <w:b/>
          <w:bCs/>
          <w:color w:val="0000FF"/>
        </w:rPr>
        <w:lastRenderedPageBreak/>
        <w:t xml:space="preserve">Γράφημα </w:t>
      </w:r>
      <w:r w:rsidR="00D0299B" w:rsidRPr="00A634D9">
        <w:rPr>
          <w:b/>
          <w:bCs/>
          <w:color w:val="0000FF"/>
        </w:rPr>
        <w:t>1</w:t>
      </w:r>
      <w:r w:rsidR="008D42B8" w:rsidRPr="00A634D9">
        <w:rPr>
          <w:b/>
          <w:bCs/>
        </w:rPr>
        <w:t>.</w:t>
      </w:r>
      <w:r w:rsidR="00D0299B" w:rsidRPr="00A634D9">
        <w:rPr>
          <w:b/>
          <w:bCs/>
        </w:rPr>
        <w:t xml:space="preserve"> </w:t>
      </w:r>
      <w:r w:rsidRPr="00A634D9">
        <w:t>Διαχρονική εξέλιξη ετήσιας δηλούμενης επίπτωσης</w:t>
      </w:r>
      <w:r w:rsidR="00D0299B" w:rsidRPr="00A634D9">
        <w:t xml:space="preserve"> </w:t>
      </w:r>
      <w:r w:rsidRPr="00A634D9">
        <w:t xml:space="preserve">της </w:t>
      </w:r>
      <w:r w:rsidR="00AF6C6E">
        <w:t xml:space="preserve">διεισδυτικής </w:t>
      </w:r>
      <w:r w:rsidR="00FB5396" w:rsidRPr="00A634D9">
        <w:t xml:space="preserve">μηνιγγιτιδοκοκκικής </w:t>
      </w:r>
      <w:r w:rsidR="002516A8" w:rsidRPr="00A634D9">
        <w:t>νόσου</w:t>
      </w:r>
      <w:r w:rsidRPr="00A634D9">
        <w:t xml:space="preserve">, Ελλάδα, </w:t>
      </w:r>
      <w:r w:rsidR="00FB5396" w:rsidRPr="00A634D9">
        <w:t>2004</w:t>
      </w:r>
      <w:r w:rsidRPr="00A634D9">
        <w:t>-20</w:t>
      </w:r>
      <w:r w:rsidR="00F81ACB" w:rsidRPr="00A634D9">
        <w:t>2</w:t>
      </w:r>
      <w:r w:rsidR="00C16ADB" w:rsidRPr="00A634D9">
        <w:t>5</w:t>
      </w:r>
    </w:p>
    <w:p w14:paraId="50BE533E" w14:textId="25E6C994" w:rsidR="00C16ADB" w:rsidRPr="00C16ADB" w:rsidRDefault="00C16ADB" w:rsidP="002907E2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1F9110C1" wp14:editId="719AF483">
            <wp:extent cx="5342608" cy="2702769"/>
            <wp:effectExtent l="0" t="0" r="0" b="2540"/>
            <wp:docPr id="14798355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774" cy="27357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7DBCB8" w14:textId="77777777" w:rsidR="009B0B14" w:rsidRPr="00A634D9" w:rsidRDefault="009B0B14" w:rsidP="00DF2B21">
      <w:pPr>
        <w:jc w:val="both"/>
        <w:rPr>
          <w:b/>
          <w:bCs/>
          <w:color w:val="0070C0"/>
        </w:rPr>
      </w:pPr>
      <w:r w:rsidRPr="00A634D9">
        <w:rPr>
          <w:b/>
          <w:bCs/>
          <w:color w:val="0070C0"/>
        </w:rPr>
        <w:t xml:space="preserve">Κατανομή κατά ηλικία </w:t>
      </w:r>
    </w:p>
    <w:p w14:paraId="69BDD1DB" w14:textId="511DF734" w:rsidR="009B0B14" w:rsidRPr="00A634D9" w:rsidRDefault="009B0B14" w:rsidP="0058490A">
      <w:pPr>
        <w:spacing w:after="240"/>
        <w:jc w:val="both"/>
      </w:pPr>
      <w:r w:rsidRPr="00A634D9">
        <w:rPr>
          <w:color w:val="000000"/>
        </w:rPr>
        <w:t xml:space="preserve">Για την χρονική περίοδο </w:t>
      </w:r>
      <w:r w:rsidR="00DF6C5E" w:rsidRPr="00A634D9">
        <w:rPr>
          <w:color w:val="000000"/>
        </w:rPr>
        <w:t>2004-20</w:t>
      </w:r>
      <w:r w:rsidR="00A71B36" w:rsidRPr="00A634D9">
        <w:rPr>
          <w:color w:val="000000"/>
        </w:rPr>
        <w:t>2</w:t>
      </w:r>
      <w:r w:rsidR="00C16ADB" w:rsidRPr="00A634D9">
        <w:rPr>
          <w:color w:val="000000"/>
        </w:rPr>
        <w:t>5</w:t>
      </w:r>
      <w:r w:rsidRPr="00A634D9">
        <w:rPr>
          <w:color w:val="000000"/>
        </w:rPr>
        <w:t xml:space="preserve">, ο αριθμός των κρουσμάτων </w:t>
      </w:r>
      <w:r w:rsidR="00A50496">
        <w:rPr>
          <w:color w:val="000000"/>
        </w:rPr>
        <w:t>ΔΜΝ</w:t>
      </w:r>
      <w:r w:rsidRPr="00A634D9">
        <w:rPr>
          <w:color w:val="000000"/>
        </w:rPr>
        <w:t xml:space="preserve"> με γνωστή ηλικία ήταν </w:t>
      </w:r>
      <w:r w:rsidR="00C0470D" w:rsidRPr="00A634D9">
        <w:rPr>
          <w:color w:val="000000"/>
        </w:rPr>
        <w:t>1.</w:t>
      </w:r>
      <w:r w:rsidR="00C16ADB" w:rsidRPr="00A634D9">
        <w:rPr>
          <w:color w:val="000000"/>
        </w:rPr>
        <w:t>207</w:t>
      </w:r>
      <w:r w:rsidR="00DF0208" w:rsidRPr="00A634D9">
        <w:rPr>
          <w:color w:val="000000"/>
        </w:rPr>
        <w:t xml:space="preserve"> (υπήρχε </w:t>
      </w:r>
      <w:r w:rsidRPr="00A634D9">
        <w:rPr>
          <w:color w:val="000000"/>
        </w:rPr>
        <w:t>1</w:t>
      </w:r>
      <w:r w:rsidR="00DF0208" w:rsidRPr="00A634D9">
        <w:rPr>
          <w:color w:val="000000"/>
        </w:rPr>
        <w:t xml:space="preserve"> κρούσμα</w:t>
      </w:r>
      <w:r w:rsidRPr="00A634D9">
        <w:rPr>
          <w:color w:val="000000"/>
        </w:rPr>
        <w:t xml:space="preserve"> με άγνωστη ηλικία). </w:t>
      </w:r>
      <w:r w:rsidRPr="00A634D9">
        <w:t xml:space="preserve">Το νόσημα παρουσίασε υψηλότερη συχνότητα εμφάνισης στην ηλικιακή ομάδα 0-4 ετών, με μέση ετήσια δηλούμενη επίπτωση </w:t>
      </w:r>
      <w:r w:rsidR="00EE49D8" w:rsidRPr="00A634D9">
        <w:t>3</w:t>
      </w:r>
      <w:r w:rsidR="00EF0225" w:rsidRPr="00A634D9">
        <w:t>,</w:t>
      </w:r>
      <w:r w:rsidR="00EE49D8" w:rsidRPr="00A634D9">
        <w:t>9</w:t>
      </w:r>
      <w:r w:rsidR="00C16ADB" w:rsidRPr="00A634D9">
        <w:t>4</w:t>
      </w:r>
      <w:r w:rsidR="00642102" w:rsidRPr="00A634D9">
        <w:t xml:space="preserve"> </w:t>
      </w:r>
      <w:r w:rsidRPr="00A634D9">
        <w:rPr>
          <w:color w:val="000000"/>
        </w:rPr>
        <w:t xml:space="preserve">κρούσματα ανά 100.000 πληθυσμού. </w:t>
      </w:r>
      <w:r w:rsidRPr="00A634D9">
        <w:t xml:space="preserve">Η μέση </w:t>
      </w:r>
      <w:r w:rsidR="00A055F8" w:rsidRPr="00A634D9">
        <w:t xml:space="preserve">ετήσια </w:t>
      </w:r>
      <w:r w:rsidRPr="00A634D9">
        <w:t>δηλούμενη επίπτωση προοδευτικά μειώνεται στις ηλικίες 5-14 ετών (</w:t>
      </w:r>
      <w:r w:rsidR="00EE49D8" w:rsidRPr="00A634D9">
        <w:t>0</w:t>
      </w:r>
      <w:r w:rsidR="00C0470D" w:rsidRPr="00A634D9">
        <w:t>,</w:t>
      </w:r>
      <w:r w:rsidR="00EE49D8" w:rsidRPr="00A634D9">
        <w:t>9</w:t>
      </w:r>
      <w:r w:rsidR="00C16ADB" w:rsidRPr="00A634D9">
        <w:t>6</w:t>
      </w:r>
      <w:r w:rsidR="00DF0208" w:rsidRPr="00A634D9">
        <w:t xml:space="preserve"> </w:t>
      </w:r>
      <w:r w:rsidRPr="00A634D9">
        <w:rPr>
          <w:color w:val="000000"/>
        </w:rPr>
        <w:t xml:space="preserve">ανά 100.000 πληθυσμού) </w:t>
      </w:r>
      <w:r w:rsidRPr="00A634D9">
        <w:t>και 15-24 ετών (</w:t>
      </w:r>
      <w:r w:rsidR="00A71B36" w:rsidRPr="00A634D9">
        <w:t>0</w:t>
      </w:r>
      <w:r w:rsidR="00C0470D" w:rsidRPr="00A634D9">
        <w:t>,</w:t>
      </w:r>
      <w:r w:rsidR="00A71B36" w:rsidRPr="00A634D9">
        <w:t>9</w:t>
      </w:r>
      <w:r w:rsidR="00C16ADB" w:rsidRPr="00A634D9">
        <w:t>2</w:t>
      </w:r>
      <w:r w:rsidR="00DF6C5E" w:rsidRPr="00A634D9">
        <w:t xml:space="preserve"> </w:t>
      </w:r>
      <w:r w:rsidRPr="00A634D9">
        <w:rPr>
          <w:color w:val="000000"/>
        </w:rPr>
        <w:t>ανά 100.000 πληθυσμού)</w:t>
      </w:r>
      <w:r w:rsidR="00A71B36" w:rsidRPr="00A634D9">
        <w:t>. Στις ηλικιακές ομάδες</w:t>
      </w:r>
      <w:r w:rsidRPr="00A634D9">
        <w:t xml:space="preserve"> άνω των 25 ετών η </w:t>
      </w:r>
      <w:r w:rsidR="00A055F8" w:rsidRPr="00A634D9">
        <w:t xml:space="preserve">μέση ετήσια δηλούμενη </w:t>
      </w:r>
      <w:r w:rsidRPr="00A634D9">
        <w:t xml:space="preserve">επίπτωση </w:t>
      </w:r>
      <w:r w:rsidR="00AF6C6E">
        <w:t xml:space="preserve">της </w:t>
      </w:r>
      <w:r w:rsidR="00A50496">
        <w:t>ΔΜΝ</w:t>
      </w:r>
      <w:r w:rsidRPr="00A634D9">
        <w:t xml:space="preserve"> είναι ιδιαίτερα μικρή και δεν ξεπερνά </w:t>
      </w:r>
      <w:r w:rsidR="00A50496">
        <w:t xml:space="preserve">τα </w:t>
      </w:r>
      <w:r w:rsidR="00DF0208" w:rsidRPr="00A634D9">
        <w:t>0,2</w:t>
      </w:r>
      <w:r w:rsidR="00C16ADB" w:rsidRPr="00A634D9">
        <w:t>1</w:t>
      </w:r>
      <w:r w:rsidRPr="00A634D9">
        <w:t xml:space="preserve"> </w:t>
      </w:r>
      <w:r w:rsidR="00A50496">
        <w:t>κρούσματα</w:t>
      </w:r>
      <w:r w:rsidRPr="00A634D9">
        <w:t xml:space="preserve"> ανά 100.000 πληθυσμού (</w:t>
      </w:r>
      <w:r w:rsidRPr="00A634D9">
        <w:rPr>
          <w:color w:val="0000FF"/>
        </w:rPr>
        <w:t xml:space="preserve">Γράφημα </w:t>
      </w:r>
      <w:r w:rsidR="00D0299B" w:rsidRPr="00A634D9">
        <w:rPr>
          <w:color w:val="0000FF"/>
        </w:rPr>
        <w:t>2</w:t>
      </w:r>
      <w:r w:rsidRPr="00A634D9">
        <w:t>).</w:t>
      </w:r>
    </w:p>
    <w:p w14:paraId="3228B7CB" w14:textId="0A2BB296" w:rsidR="0058490A" w:rsidRPr="00A64D0C" w:rsidRDefault="0058490A" w:rsidP="00E7521D">
      <w:pPr>
        <w:spacing w:after="120"/>
        <w:jc w:val="both"/>
        <w:rPr>
          <w:color w:val="000000"/>
        </w:rPr>
      </w:pPr>
      <w:r w:rsidRPr="00A64D0C">
        <w:rPr>
          <w:b/>
          <w:bCs/>
          <w:color w:val="0000FF"/>
        </w:rPr>
        <w:t xml:space="preserve">Γράφημα 2. </w:t>
      </w:r>
      <w:r w:rsidRPr="00A64D0C">
        <w:rPr>
          <w:color w:val="000000"/>
        </w:rPr>
        <w:t xml:space="preserve">Μέση ετήσια δηλούμενη επίπτωση </w:t>
      </w:r>
      <w:r w:rsidR="00AF6C6E">
        <w:rPr>
          <w:color w:val="000000"/>
        </w:rPr>
        <w:t xml:space="preserve">διεισδυτικής </w:t>
      </w:r>
      <w:r w:rsidRPr="00A64D0C">
        <w:rPr>
          <w:color w:val="000000"/>
        </w:rPr>
        <w:t>μηνιγγιτιδοκοκκικής νόσου (κρούσματα/ 100.000 πληθυσμού) ανά ηλικιακή ομάδα, Ελλάδα 2004-202</w:t>
      </w:r>
      <w:r w:rsidR="00C16ADB" w:rsidRPr="00A64D0C">
        <w:rPr>
          <w:color w:val="000000"/>
        </w:rPr>
        <w:t>5</w:t>
      </w:r>
    </w:p>
    <w:p w14:paraId="1DDBC91C" w14:textId="62EBA527" w:rsidR="00C16ADB" w:rsidRDefault="00C16ADB" w:rsidP="00EE49D8">
      <w:pPr>
        <w:jc w:val="center"/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1DE9BF5F" wp14:editId="4577358B">
            <wp:extent cx="5333614" cy="3190875"/>
            <wp:effectExtent l="0" t="0" r="635" b="0"/>
            <wp:docPr id="108231767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047" cy="32521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F90D325" w14:textId="54D1D786" w:rsidR="009B0B14" w:rsidRPr="00472ED8" w:rsidRDefault="009B0B14" w:rsidP="00472ED8">
      <w:pPr>
        <w:pStyle w:val="Heading2"/>
        <w:spacing w:after="200"/>
        <w:ind w:left="-6" w:hanging="1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72ED8">
        <w:rPr>
          <w:rFonts w:ascii="Calibri" w:hAnsi="Calibri" w:cs="Calibri"/>
          <w:b/>
          <w:bCs/>
          <w:color w:val="0070C0"/>
          <w:sz w:val="22"/>
          <w:szCs w:val="22"/>
        </w:rPr>
        <w:lastRenderedPageBreak/>
        <w:t xml:space="preserve">Εργαστηριακά δεδομένα - </w:t>
      </w:r>
      <w:proofErr w:type="spellStart"/>
      <w:r w:rsidRPr="00472ED8">
        <w:rPr>
          <w:rFonts w:ascii="Calibri" w:hAnsi="Calibri" w:cs="Calibri"/>
          <w:b/>
          <w:bCs/>
          <w:color w:val="0070C0"/>
          <w:sz w:val="22"/>
          <w:szCs w:val="22"/>
        </w:rPr>
        <w:t>Οροομάδες</w:t>
      </w:r>
      <w:proofErr w:type="spellEnd"/>
    </w:p>
    <w:p w14:paraId="52012A8D" w14:textId="1BB9D8C3" w:rsidR="009B0B14" w:rsidRPr="00A64D0C" w:rsidRDefault="00B53585" w:rsidP="001F7103">
      <w:pPr>
        <w:jc w:val="both"/>
      </w:pPr>
      <w:r w:rsidRPr="00A64D0C">
        <w:t>Κατά την περίοδο 2004-20</w:t>
      </w:r>
      <w:r w:rsidR="00E61C3A" w:rsidRPr="00A64D0C">
        <w:t>2</w:t>
      </w:r>
      <w:r w:rsidR="00C16ADB" w:rsidRPr="00A64D0C">
        <w:t>5</w:t>
      </w:r>
      <w:r w:rsidR="009B0B14" w:rsidRPr="00A64D0C">
        <w:t xml:space="preserve">, το ποσοστό των εργαστηριακά επιβεβαιωμένων κρουσμάτων </w:t>
      </w:r>
      <w:r w:rsidR="00A50496">
        <w:t>ΔΜΝ</w:t>
      </w:r>
      <w:r w:rsidR="009B0B14" w:rsidRPr="00A64D0C">
        <w:t xml:space="preserve"> ήταν </w:t>
      </w:r>
      <w:r w:rsidRPr="00A64D0C">
        <w:t>9</w:t>
      </w:r>
      <w:r w:rsidR="001A6BEA" w:rsidRPr="00A64D0C">
        <w:t>5</w:t>
      </w:r>
      <w:r w:rsidRPr="00A64D0C">
        <w:t>,</w:t>
      </w:r>
      <w:r w:rsidR="001A6BEA" w:rsidRPr="00A64D0C">
        <w:t>3</w:t>
      </w:r>
      <w:r w:rsidR="009B0B14" w:rsidRPr="00A64D0C">
        <w:t>%</w:t>
      </w:r>
      <w:r w:rsidR="00A769CE" w:rsidRPr="00A64D0C">
        <w:t xml:space="preserve"> (</w:t>
      </w:r>
      <w:r w:rsidR="003B5DFE" w:rsidRPr="00A64D0C">
        <w:t>1</w:t>
      </w:r>
      <w:r w:rsidR="00C16ADB" w:rsidRPr="00A64D0C">
        <w:t>1</w:t>
      </w:r>
      <w:r w:rsidR="001A6BEA" w:rsidRPr="00A64D0C">
        <w:t>55</w:t>
      </w:r>
      <w:r w:rsidR="00A769CE" w:rsidRPr="00A64D0C">
        <w:t>/</w:t>
      </w:r>
      <w:r w:rsidR="00C0470D" w:rsidRPr="00A64D0C">
        <w:t>1</w:t>
      </w:r>
      <w:r w:rsidR="00C16ADB" w:rsidRPr="00A64D0C">
        <w:t>2</w:t>
      </w:r>
      <w:r w:rsidR="001A6BEA" w:rsidRPr="00A64D0C">
        <w:t>12</w:t>
      </w:r>
      <w:r w:rsidR="00A769CE" w:rsidRPr="00A64D0C">
        <w:t>)</w:t>
      </w:r>
      <w:r w:rsidR="009B0B14" w:rsidRPr="00A64D0C">
        <w:t>.</w:t>
      </w:r>
      <w:r w:rsidR="000C5096" w:rsidRPr="00A64D0C">
        <w:t xml:space="preserve"> </w:t>
      </w:r>
      <w:r w:rsidR="009B0B14" w:rsidRPr="00A64D0C">
        <w:t xml:space="preserve">Κατά το παραπάνω χρονικό διάστημα έγινε </w:t>
      </w:r>
      <w:proofErr w:type="spellStart"/>
      <w:r w:rsidR="009B0B14" w:rsidRPr="00A64D0C">
        <w:t>οροτυπικός</w:t>
      </w:r>
      <w:proofErr w:type="spellEnd"/>
      <w:r w:rsidR="009B0B14" w:rsidRPr="00A64D0C">
        <w:t xml:space="preserve"> έλεγχος στο </w:t>
      </w:r>
      <w:r w:rsidR="002A1DD1" w:rsidRPr="00A64D0C">
        <w:t>80</w:t>
      </w:r>
      <w:r w:rsidR="00581E0B" w:rsidRPr="00A64D0C">
        <w:t>,</w:t>
      </w:r>
      <w:r w:rsidR="002A1DD1" w:rsidRPr="00A64D0C">
        <w:t>4</w:t>
      </w:r>
      <w:r w:rsidR="009B0B14" w:rsidRPr="00A64D0C">
        <w:t>% (</w:t>
      </w:r>
      <w:r w:rsidR="00292997" w:rsidRPr="00A64D0C">
        <w:t>9</w:t>
      </w:r>
      <w:r w:rsidR="00C16ADB" w:rsidRPr="00A64D0C">
        <w:t>75</w:t>
      </w:r>
      <w:r w:rsidR="00A769CE" w:rsidRPr="00A64D0C">
        <w:t>/</w:t>
      </w:r>
      <w:r w:rsidR="00C0470D" w:rsidRPr="00A64D0C">
        <w:t>1</w:t>
      </w:r>
      <w:r w:rsidR="00C16ADB" w:rsidRPr="00A64D0C">
        <w:t>2</w:t>
      </w:r>
      <w:r w:rsidR="002A1DD1" w:rsidRPr="00A64D0C">
        <w:t>12</w:t>
      </w:r>
      <w:r w:rsidR="009B0B14" w:rsidRPr="00A64D0C">
        <w:t xml:space="preserve">) των στελεχών μηνιγγιτιδόκοκκου από τα οποία </w:t>
      </w:r>
      <w:r w:rsidR="00C16ADB" w:rsidRPr="00A64D0C">
        <w:t>917</w:t>
      </w:r>
      <w:r w:rsidR="009B0B14" w:rsidRPr="00A64D0C">
        <w:t>/</w:t>
      </w:r>
      <w:r w:rsidR="00292997" w:rsidRPr="00A64D0C">
        <w:t>9</w:t>
      </w:r>
      <w:r w:rsidR="00C16ADB" w:rsidRPr="00A64D0C">
        <w:t>75</w:t>
      </w:r>
      <w:r w:rsidR="009B0B14" w:rsidRPr="00A64D0C">
        <w:t xml:space="preserve"> (</w:t>
      </w:r>
      <w:r w:rsidR="00C16ADB" w:rsidRPr="00A64D0C">
        <w:t>94</w:t>
      </w:r>
      <w:r w:rsidR="003D7511" w:rsidRPr="00A64D0C">
        <w:t>,</w:t>
      </w:r>
      <w:r w:rsidR="00C16ADB" w:rsidRPr="00A64D0C">
        <w:t>1</w:t>
      </w:r>
      <w:r w:rsidR="009B0B14" w:rsidRPr="00A64D0C">
        <w:t xml:space="preserve">%) </w:t>
      </w:r>
      <w:proofErr w:type="spellStart"/>
      <w:r w:rsidR="009B0B14" w:rsidRPr="00A64D0C">
        <w:t>ταυτοποιήθηκαν</w:t>
      </w:r>
      <w:proofErr w:type="spellEnd"/>
      <w:r w:rsidR="009B0B14" w:rsidRPr="00A64D0C">
        <w:t xml:space="preserve"> ότι ανήκουν σε μια από τις πέντε </w:t>
      </w:r>
      <w:proofErr w:type="spellStart"/>
      <w:r w:rsidR="009B0B14" w:rsidRPr="00A64D0C">
        <w:t>οροομάδες</w:t>
      </w:r>
      <w:proofErr w:type="spellEnd"/>
      <w:r w:rsidR="009B0B14" w:rsidRPr="00A64D0C">
        <w:t xml:space="preserve"> (</w:t>
      </w:r>
      <w:r w:rsidR="009B0B14" w:rsidRPr="00A64D0C">
        <w:rPr>
          <w:lang w:val="en-US"/>
        </w:rPr>
        <w:t>A</w:t>
      </w:r>
      <w:r w:rsidR="009B0B14" w:rsidRPr="00A64D0C">
        <w:t xml:space="preserve">, </w:t>
      </w:r>
      <w:r w:rsidR="009B0B14" w:rsidRPr="00A64D0C">
        <w:rPr>
          <w:lang w:val="en-US"/>
        </w:rPr>
        <w:t>B</w:t>
      </w:r>
      <w:r w:rsidR="009B0B14" w:rsidRPr="00A64D0C">
        <w:t xml:space="preserve">, </w:t>
      </w:r>
      <w:r w:rsidR="009B0B14" w:rsidRPr="00A64D0C">
        <w:rPr>
          <w:lang w:val="en-US"/>
        </w:rPr>
        <w:t>C</w:t>
      </w:r>
      <w:r w:rsidR="009B0B14" w:rsidRPr="00A64D0C">
        <w:t xml:space="preserve">, </w:t>
      </w:r>
      <w:r w:rsidR="009B0B14" w:rsidRPr="00A64D0C">
        <w:rPr>
          <w:lang w:val="en-US"/>
        </w:rPr>
        <w:t>W</w:t>
      </w:r>
      <w:r w:rsidR="009B0B14" w:rsidRPr="00A64D0C">
        <w:t>135,</w:t>
      </w:r>
      <w:r w:rsidR="00E026D6" w:rsidRPr="00A64D0C">
        <w:t xml:space="preserve"> </w:t>
      </w:r>
      <w:r w:rsidR="009B0B14" w:rsidRPr="00A64D0C">
        <w:rPr>
          <w:lang w:val="en-US"/>
        </w:rPr>
        <w:t>Y</w:t>
      </w:r>
      <w:r w:rsidR="009B0B14" w:rsidRPr="00A64D0C">
        <w:t>) που ευθύνονται για τη</w:t>
      </w:r>
      <w:r w:rsidR="00D0299B" w:rsidRPr="00A64D0C">
        <w:t xml:space="preserve"> </w:t>
      </w:r>
      <w:r w:rsidR="009B0B14" w:rsidRPr="00A64D0C">
        <w:t>συντριπτική πλειοψηφία των διεισδυτικών λοιμώξεων παγκοσμίως.</w:t>
      </w:r>
      <w:r w:rsidR="008746F7" w:rsidRPr="00A64D0C">
        <w:t xml:space="preserve"> Επιπλέον</w:t>
      </w:r>
      <w:r w:rsidR="00292997" w:rsidRPr="00A64D0C">
        <w:t>,</w:t>
      </w:r>
      <w:r w:rsidR="008746F7" w:rsidRPr="00A64D0C">
        <w:t xml:space="preserve"> σε ένα (1) δείγμα ταυτοποιήθηκε </w:t>
      </w:r>
      <w:proofErr w:type="spellStart"/>
      <w:r w:rsidR="008746F7" w:rsidRPr="00A64D0C">
        <w:t>μηνιγγιτιδόκοκκος</w:t>
      </w:r>
      <w:proofErr w:type="spellEnd"/>
      <w:r w:rsidR="008746F7" w:rsidRPr="00A64D0C">
        <w:t xml:space="preserve"> οροομάδας Χ</w:t>
      </w:r>
      <w:r w:rsidR="0092523B" w:rsidRPr="00A64D0C">
        <w:t xml:space="preserve"> (έτος 2014)</w:t>
      </w:r>
      <w:r w:rsidR="008746F7" w:rsidRPr="00A64D0C">
        <w:t xml:space="preserve">. </w:t>
      </w:r>
      <w:r w:rsidR="009B0B14" w:rsidRPr="00A64D0C">
        <w:t xml:space="preserve">Στη χώρα μας το </w:t>
      </w:r>
      <w:r w:rsidR="00C16ADB" w:rsidRPr="00A64D0C">
        <w:t>81</w:t>
      </w:r>
      <w:r w:rsidR="00654DE2" w:rsidRPr="00A64D0C">
        <w:t>,</w:t>
      </w:r>
      <w:r w:rsidR="00C16ADB" w:rsidRPr="00A64D0C">
        <w:t>3</w:t>
      </w:r>
      <w:r w:rsidR="009B0B14" w:rsidRPr="00A64D0C">
        <w:t>%</w:t>
      </w:r>
      <w:r w:rsidR="00A769CE" w:rsidRPr="00A64D0C">
        <w:t xml:space="preserve"> (</w:t>
      </w:r>
      <w:r w:rsidR="00C16ADB" w:rsidRPr="00A64D0C">
        <w:t>793</w:t>
      </w:r>
      <w:r w:rsidR="00654DE2" w:rsidRPr="00A64D0C">
        <w:t>/</w:t>
      </w:r>
      <w:r w:rsidR="00E026D6" w:rsidRPr="00A64D0C">
        <w:t>9</w:t>
      </w:r>
      <w:r w:rsidR="00C16ADB" w:rsidRPr="00A64D0C">
        <w:t>75</w:t>
      </w:r>
      <w:r w:rsidR="00A769CE" w:rsidRPr="00A64D0C">
        <w:t>)</w:t>
      </w:r>
      <w:r w:rsidR="009B0B14" w:rsidRPr="00A64D0C">
        <w:t xml:space="preserve"> των περιπτώσεων </w:t>
      </w:r>
      <w:r w:rsidR="00A50496">
        <w:t>ΔΜΝ</w:t>
      </w:r>
      <w:r w:rsidR="009B0B14" w:rsidRPr="00A64D0C">
        <w:t xml:space="preserve"> όπου έγινε προσδιορισμός της οροομάδας οφείλεται στην οροομάδα Β, ενώ 2</w:t>
      </w:r>
      <w:r w:rsidR="009B0B14" w:rsidRPr="00A64D0C">
        <w:rPr>
          <w:vertAlign w:val="superscript"/>
        </w:rPr>
        <w:t>η</w:t>
      </w:r>
      <w:r w:rsidR="009B0B14" w:rsidRPr="00A64D0C">
        <w:t xml:space="preserve"> σε συχνότητα </w:t>
      </w:r>
      <w:proofErr w:type="spellStart"/>
      <w:r w:rsidR="009B0B14" w:rsidRPr="00A64D0C">
        <w:t>ταυτοποιήσιμη</w:t>
      </w:r>
      <w:proofErr w:type="spellEnd"/>
      <w:r w:rsidR="00D740E2" w:rsidRPr="00A64D0C">
        <w:t xml:space="preserve"> </w:t>
      </w:r>
      <w:r w:rsidR="009B0B14" w:rsidRPr="00A64D0C">
        <w:t>οροομάδα είναι η</w:t>
      </w:r>
      <w:r w:rsidR="00BC00C7" w:rsidRPr="00A64D0C">
        <w:t xml:space="preserve"> </w:t>
      </w:r>
      <w:r w:rsidR="009B0B14" w:rsidRPr="00A64D0C">
        <w:rPr>
          <w:lang w:val="en-US"/>
        </w:rPr>
        <w:t>C</w:t>
      </w:r>
      <w:r w:rsidR="009B0B14" w:rsidRPr="00A64D0C">
        <w:t xml:space="preserve"> (</w:t>
      </w:r>
      <w:r w:rsidR="009B0B14" w:rsidRPr="00A64D0C">
        <w:rPr>
          <w:color w:val="0000FF"/>
        </w:rPr>
        <w:t xml:space="preserve">Γράφημα </w:t>
      </w:r>
      <w:r w:rsidR="00D740E2" w:rsidRPr="00A64D0C">
        <w:rPr>
          <w:color w:val="0000FF"/>
        </w:rPr>
        <w:t>3</w:t>
      </w:r>
      <w:r w:rsidR="009B0B14" w:rsidRPr="00A64D0C">
        <w:t xml:space="preserve">). </w:t>
      </w:r>
    </w:p>
    <w:p w14:paraId="178F753C" w14:textId="5680DAC9" w:rsidR="009B0B14" w:rsidRPr="00A64D0C" w:rsidRDefault="009B0B14" w:rsidP="001F7103">
      <w:pPr>
        <w:jc w:val="both"/>
      </w:pPr>
      <w:r w:rsidRPr="00A64D0C">
        <w:rPr>
          <w:b/>
          <w:bCs/>
          <w:color w:val="0000FF"/>
        </w:rPr>
        <w:t xml:space="preserve">Γράφημα </w:t>
      </w:r>
      <w:r w:rsidR="00D740E2" w:rsidRPr="00A64D0C">
        <w:rPr>
          <w:b/>
          <w:bCs/>
          <w:color w:val="0000FF"/>
        </w:rPr>
        <w:t>3</w:t>
      </w:r>
      <w:r w:rsidRPr="00A64D0C">
        <w:rPr>
          <w:b/>
          <w:bCs/>
        </w:rPr>
        <w:t xml:space="preserve">. </w:t>
      </w:r>
      <w:r w:rsidRPr="00A64D0C">
        <w:t>Κατανομ</w:t>
      </w:r>
      <w:r w:rsidR="005329C5" w:rsidRPr="00A64D0C">
        <w:t xml:space="preserve">ή </w:t>
      </w:r>
      <w:r w:rsidR="00AF6C6E">
        <w:t xml:space="preserve">διεισδυτικής </w:t>
      </w:r>
      <w:r w:rsidR="005329C5" w:rsidRPr="00A64D0C">
        <w:t>μηνιγγιτιδοκοκκικής νόσου</w:t>
      </w:r>
      <w:r w:rsidR="00C87063" w:rsidRPr="00A64D0C">
        <w:t xml:space="preserve"> ανά ορ</w:t>
      </w:r>
      <w:r w:rsidR="00A96E1B" w:rsidRPr="00A64D0C">
        <w:t>οομάδα</w:t>
      </w:r>
      <w:r w:rsidR="00B53585" w:rsidRPr="00A64D0C">
        <w:t xml:space="preserve"> στην Ελλάδα, 2004-20</w:t>
      </w:r>
      <w:r w:rsidR="00864C5C" w:rsidRPr="00A64D0C">
        <w:t>2</w:t>
      </w:r>
      <w:r w:rsidR="00C16ADB" w:rsidRPr="00A64D0C">
        <w:t>5</w:t>
      </w:r>
    </w:p>
    <w:p w14:paraId="4EF864C0" w14:textId="04C758F5" w:rsidR="004E0AB4" w:rsidRPr="00806969" w:rsidRDefault="00C16ADB" w:rsidP="00BC00C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EDA19A" wp14:editId="31B87AB6">
            <wp:extent cx="4489117" cy="2846705"/>
            <wp:effectExtent l="0" t="0" r="6985" b="0"/>
            <wp:docPr id="11167271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2787" cy="285537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132BB0" w14:textId="161A9B75" w:rsidR="004E0AB4" w:rsidRPr="00547C72" w:rsidRDefault="004E0AB4" w:rsidP="00BC00C7">
      <w:pPr>
        <w:jc w:val="center"/>
        <w:rPr>
          <w:rFonts w:ascii="Times New Roman" w:hAnsi="Times New Roman" w:cs="Times New Roman"/>
          <w:lang w:val="en-US"/>
        </w:rPr>
      </w:pPr>
    </w:p>
    <w:p w14:paraId="6FAAC9EF" w14:textId="7A862C3C" w:rsidR="009B0B14" w:rsidRPr="00472ED8" w:rsidRDefault="009B0B14" w:rsidP="00472ED8">
      <w:pPr>
        <w:pStyle w:val="Heading2"/>
        <w:spacing w:after="200"/>
        <w:ind w:left="-6" w:hanging="1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72ED8">
        <w:rPr>
          <w:rFonts w:ascii="Calibri" w:hAnsi="Calibri" w:cs="Calibri"/>
          <w:b/>
          <w:bCs/>
          <w:color w:val="0070C0"/>
          <w:sz w:val="22"/>
          <w:szCs w:val="22"/>
        </w:rPr>
        <w:t>Θνητότητα - Θνησιμότητα</w:t>
      </w:r>
    </w:p>
    <w:p w14:paraId="0611D98D" w14:textId="0EB1E019" w:rsidR="009B0B14" w:rsidRDefault="009B0B14" w:rsidP="00DE143F">
      <w:pPr>
        <w:spacing w:after="360"/>
        <w:jc w:val="both"/>
      </w:pPr>
      <w:r w:rsidRPr="00A64D0C">
        <w:t xml:space="preserve">Κατά την </w:t>
      </w:r>
      <w:r w:rsidR="00B53585" w:rsidRPr="00A64D0C">
        <w:t>περίοδο 2004-20</w:t>
      </w:r>
      <w:r w:rsidR="00510A6C" w:rsidRPr="00A64D0C">
        <w:t>2</w:t>
      </w:r>
      <w:r w:rsidR="00C16ADB" w:rsidRPr="00A64D0C">
        <w:t>5</w:t>
      </w:r>
      <w:r w:rsidRPr="00A64D0C">
        <w:t xml:space="preserve"> καταγράφηκαν </w:t>
      </w:r>
      <w:r w:rsidR="00BB3506" w:rsidRPr="00A64D0C">
        <w:t>7</w:t>
      </w:r>
      <w:r w:rsidR="00C16ADB" w:rsidRPr="00A64D0C">
        <w:t>2</w:t>
      </w:r>
      <w:r w:rsidRPr="00A64D0C">
        <w:t xml:space="preserve"> θάνατοι από</w:t>
      </w:r>
      <w:r w:rsidR="00AF6C6E">
        <w:t xml:space="preserve"> </w:t>
      </w:r>
      <w:r w:rsidR="00A50496">
        <w:t>ΔΜΝ</w:t>
      </w:r>
      <w:r w:rsidRPr="00A64D0C">
        <w:t xml:space="preserve"> που αναλογεί σε </w:t>
      </w:r>
      <w:r w:rsidR="00BB3506" w:rsidRPr="00A64D0C">
        <w:t xml:space="preserve">μέση </w:t>
      </w:r>
      <w:r w:rsidRPr="00A64D0C">
        <w:t xml:space="preserve">θνητότητα </w:t>
      </w:r>
      <w:r w:rsidR="00603BF2" w:rsidRPr="00A64D0C">
        <w:t>6</w:t>
      </w:r>
      <w:r w:rsidRPr="00A64D0C">
        <w:t xml:space="preserve">%. Η μεγαλύτερη θνητότητα καταγράφηκε το έτος </w:t>
      </w:r>
      <w:r w:rsidR="00072F84" w:rsidRPr="00A64D0C">
        <w:t>201</w:t>
      </w:r>
      <w:r w:rsidR="007A2B46" w:rsidRPr="00A64D0C">
        <w:t>8</w:t>
      </w:r>
      <w:r w:rsidRPr="00A64D0C">
        <w:t xml:space="preserve"> (</w:t>
      </w:r>
      <w:r w:rsidR="00072F84" w:rsidRPr="00A64D0C">
        <w:t>11,</w:t>
      </w:r>
      <w:r w:rsidR="007A2B46" w:rsidRPr="00A64D0C">
        <w:t>8</w:t>
      </w:r>
      <w:r w:rsidR="007A16F8" w:rsidRPr="00A64D0C">
        <w:t>%) ενώ η μικρότερη τα</w:t>
      </w:r>
      <w:r w:rsidRPr="00A64D0C">
        <w:t xml:space="preserve"> έτ</w:t>
      </w:r>
      <w:r w:rsidR="007A16F8" w:rsidRPr="00A64D0C">
        <w:t>η</w:t>
      </w:r>
      <w:r w:rsidR="00072F84" w:rsidRPr="00A64D0C">
        <w:t xml:space="preserve"> 20</w:t>
      </w:r>
      <w:r w:rsidR="00365119" w:rsidRPr="00A64D0C">
        <w:t>20</w:t>
      </w:r>
      <w:r w:rsidR="004D4732" w:rsidRPr="00A64D0C">
        <w:t>-</w:t>
      </w:r>
      <w:r w:rsidR="007A16F8" w:rsidRPr="00A64D0C">
        <w:t>202</w:t>
      </w:r>
      <w:r w:rsidR="004D4732" w:rsidRPr="00A64D0C">
        <w:t>2</w:t>
      </w:r>
      <w:r w:rsidR="007A16F8" w:rsidRPr="00A64D0C">
        <w:t xml:space="preserve"> </w:t>
      </w:r>
      <w:r w:rsidR="00072F84" w:rsidRPr="00A64D0C">
        <w:t>(</w:t>
      </w:r>
      <w:r w:rsidR="00365119" w:rsidRPr="00A64D0C">
        <w:t>0</w:t>
      </w:r>
      <w:r w:rsidRPr="00A64D0C">
        <w:t xml:space="preserve">%). Η μέση </w:t>
      </w:r>
      <w:r w:rsidR="005329C5" w:rsidRPr="00A64D0C">
        <w:t xml:space="preserve">ετήσια </w:t>
      </w:r>
      <w:r w:rsidRPr="00A64D0C">
        <w:t xml:space="preserve">δηλούμενη θνησιμότητα για την χρονική περίοδο </w:t>
      </w:r>
      <w:r w:rsidR="008D05A1" w:rsidRPr="00A64D0C">
        <w:t>2004</w:t>
      </w:r>
      <w:r w:rsidRPr="00A64D0C">
        <w:t>-20</w:t>
      </w:r>
      <w:r w:rsidR="00941FDE" w:rsidRPr="00A64D0C">
        <w:t>2</w:t>
      </w:r>
      <w:r w:rsidR="00DB1F6C" w:rsidRPr="00A64D0C">
        <w:t>5</w:t>
      </w:r>
      <w:r w:rsidR="0068731B" w:rsidRPr="00A64D0C">
        <w:t xml:space="preserve"> είναι 0,0</w:t>
      </w:r>
      <w:r w:rsidR="00941FDE" w:rsidRPr="00A64D0C">
        <w:t>3</w:t>
      </w:r>
      <w:r w:rsidRPr="00A64D0C">
        <w:t xml:space="preserve"> θάνατοι ανά 100.000 πληθυσμού.</w:t>
      </w:r>
    </w:p>
    <w:p w14:paraId="5D7380CC" w14:textId="23DEFF9C" w:rsidR="00A64D0C" w:rsidRPr="0030674D" w:rsidRDefault="0030674D" w:rsidP="0030674D">
      <w:pPr>
        <w:pStyle w:val="Heading2"/>
        <w:spacing w:after="200"/>
        <w:ind w:left="-6" w:hanging="1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30674D">
        <w:rPr>
          <w:rFonts w:ascii="Calibri" w:hAnsi="Calibri" w:cs="Calibri"/>
          <w:b/>
          <w:bCs/>
          <w:color w:val="0070C0"/>
          <w:sz w:val="22"/>
          <w:szCs w:val="22"/>
        </w:rPr>
        <w:t xml:space="preserve">Μέτρα πρόληψης και ελέγχου της </w:t>
      </w:r>
      <w:r w:rsidR="00A50496">
        <w:rPr>
          <w:rFonts w:ascii="Calibri" w:hAnsi="Calibri" w:cs="Calibri"/>
          <w:b/>
          <w:bCs/>
          <w:color w:val="0070C0"/>
          <w:sz w:val="22"/>
          <w:szCs w:val="22"/>
        </w:rPr>
        <w:t>ΔΜΝ</w:t>
      </w:r>
    </w:p>
    <w:p w14:paraId="4443D3AA" w14:textId="77777777" w:rsidR="0030674D" w:rsidRPr="0030674D" w:rsidRDefault="0030674D" w:rsidP="0030674D">
      <w:pPr>
        <w:jc w:val="both"/>
        <w:rPr>
          <w:b/>
          <w:bCs/>
        </w:rPr>
      </w:pPr>
      <w:r w:rsidRPr="0030674D">
        <w:rPr>
          <w:b/>
          <w:bCs/>
        </w:rPr>
        <w:t>Α. Εμβολιασμός</w:t>
      </w:r>
    </w:p>
    <w:p w14:paraId="233214F9" w14:textId="18EDCA1A" w:rsidR="00FF4926" w:rsidRPr="00FF4926" w:rsidRDefault="00FF4926" w:rsidP="0030674D">
      <w:pPr>
        <w:jc w:val="both"/>
      </w:pPr>
      <w:r>
        <w:t xml:space="preserve">Στη χώρα μας κυκλοφορούν και περιλαμβάνονται στο Εθνικό Πρόγραμμα Εμβολιασμών </w:t>
      </w:r>
      <w:proofErr w:type="spellStart"/>
      <w:r>
        <w:t>μονοδύναμο</w:t>
      </w:r>
      <w:proofErr w:type="spellEnd"/>
      <w:r w:rsidRPr="00FF4926">
        <w:t xml:space="preserve"> </w:t>
      </w:r>
      <w:r>
        <w:t xml:space="preserve">εμβόλιο έναντι του μηνιγγιτιδόκοκκου </w:t>
      </w:r>
      <w:proofErr w:type="spellStart"/>
      <w:r>
        <w:t>οροομαδας</w:t>
      </w:r>
      <w:proofErr w:type="spellEnd"/>
      <w:r>
        <w:t xml:space="preserve"> </w:t>
      </w:r>
      <w:r>
        <w:rPr>
          <w:lang w:val="en-US"/>
        </w:rPr>
        <w:t>C</w:t>
      </w:r>
      <w:r w:rsidRPr="00FF4926">
        <w:t xml:space="preserve">, </w:t>
      </w:r>
      <w:proofErr w:type="spellStart"/>
      <w:r>
        <w:t>τετραδύναμο</w:t>
      </w:r>
      <w:proofErr w:type="spellEnd"/>
      <w:r>
        <w:t xml:space="preserve"> εμβόλιο έναντι των </w:t>
      </w:r>
      <w:proofErr w:type="spellStart"/>
      <w:r>
        <w:t>οροομάδων</w:t>
      </w:r>
      <w:proofErr w:type="spellEnd"/>
      <w:r>
        <w:t xml:space="preserve"> </w:t>
      </w:r>
      <w:r>
        <w:rPr>
          <w:lang w:val="en-US"/>
        </w:rPr>
        <w:t>A</w:t>
      </w:r>
      <w:r w:rsidRPr="00FF4926">
        <w:t xml:space="preserve">, </w:t>
      </w:r>
      <w:r>
        <w:rPr>
          <w:lang w:val="en-US"/>
        </w:rPr>
        <w:t>C</w:t>
      </w:r>
      <w:r w:rsidRPr="00FF4926">
        <w:t xml:space="preserve">, </w:t>
      </w:r>
      <w:r>
        <w:rPr>
          <w:lang w:val="en-US"/>
        </w:rPr>
        <w:t>W</w:t>
      </w:r>
      <w:r w:rsidRPr="00FF4926">
        <w:t xml:space="preserve">135 </w:t>
      </w:r>
      <w:r>
        <w:t xml:space="preserve">και Υ και επίσης εμβόλιο έναντι της οροομάδας </w:t>
      </w:r>
      <w:r>
        <w:rPr>
          <w:lang w:val="en-US"/>
        </w:rPr>
        <w:t>B</w:t>
      </w:r>
      <w:r w:rsidRPr="00FF4926">
        <w:t>.</w:t>
      </w:r>
      <w:r>
        <w:t xml:space="preserve"> </w:t>
      </w:r>
    </w:p>
    <w:p w14:paraId="5683B3B7" w14:textId="76063288" w:rsidR="0030674D" w:rsidRPr="0030674D" w:rsidRDefault="005518FE" w:rsidP="0030674D">
      <w:pPr>
        <w:jc w:val="both"/>
      </w:pPr>
      <w:r>
        <w:rPr>
          <w:lang w:val="en-US"/>
        </w:rPr>
        <w:t>To</w:t>
      </w:r>
      <w:r w:rsidR="0030674D" w:rsidRPr="0030674D">
        <w:t xml:space="preserve"> συζευγμένο </w:t>
      </w:r>
      <w:proofErr w:type="spellStart"/>
      <w:r w:rsidR="0030674D" w:rsidRPr="0030674D">
        <w:t>μονοδύναμο</w:t>
      </w:r>
      <w:proofErr w:type="spellEnd"/>
      <w:r w:rsidR="0030674D" w:rsidRPr="0030674D">
        <w:t xml:space="preserve"> εμβόλιο κατά του μηνιγγιτιδόκοκκου οροομάδας C (MCC), χορηγείται σε μία δόση στην ηλικία των 10 μηνών. Το </w:t>
      </w:r>
      <w:r>
        <w:rPr>
          <w:lang w:val="en-US"/>
        </w:rPr>
        <w:t>MC</w:t>
      </w:r>
      <w:r w:rsidR="0030674D" w:rsidRPr="0030674D">
        <w:t xml:space="preserve">C έχει αποδεδειγμένα ελέγξει τη νόσο από τη συγκεκριμένη </w:t>
      </w:r>
      <w:r w:rsidR="0030674D" w:rsidRPr="0030674D">
        <w:lastRenderedPageBreak/>
        <w:t>οροομάδα, όπου έχει εφαρμοστεί συστηματικός εμβολιασμός, όπως για παράδειγμα το Ηνωμένο Βασίλειο.</w:t>
      </w:r>
    </w:p>
    <w:p w14:paraId="15925F61" w14:textId="4AA95C8C" w:rsidR="0030674D" w:rsidRPr="0030674D" w:rsidRDefault="005518FE" w:rsidP="0030674D">
      <w:pPr>
        <w:jc w:val="both"/>
      </w:pPr>
      <w:r>
        <w:rPr>
          <w:lang w:val="en-US"/>
        </w:rPr>
        <w:t>To</w:t>
      </w:r>
      <w:r w:rsidR="0030674D" w:rsidRPr="0030674D">
        <w:t xml:space="preserve"> συζευγμένο </w:t>
      </w:r>
      <w:proofErr w:type="spellStart"/>
      <w:r w:rsidR="0030674D" w:rsidRPr="0030674D">
        <w:t>τετραδύναμο</w:t>
      </w:r>
      <w:proofErr w:type="spellEnd"/>
      <w:r w:rsidR="0030674D" w:rsidRPr="0030674D">
        <w:t xml:space="preserve"> </w:t>
      </w:r>
      <w:proofErr w:type="spellStart"/>
      <w:r w:rsidR="0030674D" w:rsidRPr="0030674D">
        <w:t>μηνιγγιτιδοκοκκικό</w:t>
      </w:r>
      <w:proofErr w:type="spellEnd"/>
      <w:r w:rsidR="0030674D" w:rsidRPr="0030674D">
        <w:t xml:space="preserve"> εμβόλιο για τις </w:t>
      </w:r>
      <w:proofErr w:type="spellStart"/>
      <w:r w:rsidR="0030674D" w:rsidRPr="0030674D">
        <w:t>οροομάδες</w:t>
      </w:r>
      <w:proofErr w:type="spellEnd"/>
      <w:r w:rsidR="0030674D" w:rsidRPr="0030674D">
        <w:t xml:space="preserve"> A, C, W135 και Y (MCV4), συνιστάται στην ηλικία των 11–12 ετών (με αναπλήρωση έως και τα 18 έτη), ανεξάρτητα αν έχει προηγηθεί εμβολιασμός με MCC. Επιπρόσθετα, το MCV4 συνιστάται σε βρέφη ≥2 μηνών, παιδιά και εφήβους που ανήκουν σε ομάδες αυξημένου κινδύνου, με εμβολιαστικό σχήμα ανάλογα με την ηλικία διάγνωσης και έναρξης του εμβολιασμού. Εάν έχει προηγηθεί το MCC, η 1η δόση του MCV4 θα πρέπει να γίνεται με ελάχιστο μεσοδιάστημα 1 μηνός.</w:t>
      </w:r>
    </w:p>
    <w:p w14:paraId="2B61D54C" w14:textId="7051D55F" w:rsidR="0030674D" w:rsidRPr="0030674D" w:rsidRDefault="005518FE" w:rsidP="0030674D">
      <w:pPr>
        <w:jc w:val="both"/>
      </w:pPr>
      <w:r>
        <w:t>Σ</w:t>
      </w:r>
      <w:r w:rsidR="0030674D" w:rsidRPr="0030674D">
        <w:t xml:space="preserve">τη χώρα μας κυκλοφορεί </w:t>
      </w:r>
      <w:r>
        <w:t xml:space="preserve">επίσης </w:t>
      </w:r>
      <w:r w:rsidRPr="0030674D">
        <w:t xml:space="preserve">πρωτεϊνικό </w:t>
      </w:r>
      <w:r w:rsidR="0030674D" w:rsidRPr="0030674D">
        <w:t xml:space="preserve">εμβόλιο κατά του μηνιγγιτιδόκοκκου οροομάδας Β (ΜenB-4C με μικρότερη ηλικία χορήγησης τις 6 εβδομάδες ή </w:t>
      </w:r>
      <w:proofErr w:type="spellStart"/>
      <w:r w:rsidR="0030674D" w:rsidRPr="0030674D">
        <w:t>MenB-fHbp</w:t>
      </w:r>
      <w:proofErr w:type="spellEnd"/>
      <w:r w:rsidR="0030674D" w:rsidRPr="0030674D">
        <w:t xml:space="preserve"> με μικρότερη ηλικία χορήγησης τα 10 έτη). Το εμβόλιο MenB-4C χορηγείται σε υγιή βρέφη, σε δύο δόσεις στις ηλικίες 2 και 4 μηνών και μια αναμνηστική δόση στην ηλικία 12-15 μηνών. Σε κάθε περίπτωση, λόγω της επιδημιολογίας της νόσου, επισημαίνεται ότι η πρώτη δόση σε υγιή βρέφη θα πρέπει να γίνεται αμέσως μετά τη συμπλήρωση του 2ου μήνα ζωής και το αργότερο έως την ηλικία των 6 μηνών, η δεύτερη δόση έως την ηλικία των 12 μηνών και η αναμνηστική δόση έως την ηλικία των 18 μηνών. Το </w:t>
      </w:r>
      <w:proofErr w:type="spellStart"/>
      <w:r w:rsidR="0030674D" w:rsidRPr="0030674D">
        <w:t>MenB</w:t>
      </w:r>
      <w:proofErr w:type="spellEnd"/>
      <w:r w:rsidR="0030674D" w:rsidRPr="0030674D">
        <w:t xml:space="preserve"> εμβόλιο συνιστάται, επίσης, σε βρέφη από την ηλικία των 2 μηνών και παιδιά έως 18 ετών, που ανήκουν σε ομάδες αυξημένου κινδύνου, με εμβολιαστικό σχήμα ανάλογα με την ηλικία έναρξης του εμβολιασμού.</w:t>
      </w:r>
    </w:p>
    <w:p w14:paraId="1461346A" w14:textId="7406E9EC" w:rsidR="00A64D0C" w:rsidRPr="0030674D" w:rsidRDefault="0030674D" w:rsidP="001967AA">
      <w:pPr>
        <w:jc w:val="both"/>
        <w:rPr>
          <w:b/>
          <w:bCs/>
        </w:rPr>
      </w:pPr>
      <w:r w:rsidRPr="0030674D">
        <w:rPr>
          <w:b/>
          <w:bCs/>
        </w:rPr>
        <w:t xml:space="preserve">Β. Χορήγηση </w:t>
      </w:r>
      <w:proofErr w:type="spellStart"/>
      <w:r w:rsidRPr="0030674D">
        <w:rPr>
          <w:b/>
          <w:bCs/>
        </w:rPr>
        <w:t>χημειοπροφύλαξης</w:t>
      </w:r>
      <w:proofErr w:type="spellEnd"/>
      <w:r w:rsidRPr="0030674D">
        <w:rPr>
          <w:b/>
          <w:bCs/>
        </w:rPr>
        <w:t xml:space="preserve"> στις στενές επαφές</w:t>
      </w:r>
    </w:p>
    <w:p w14:paraId="080DB10B" w14:textId="487F94EC" w:rsidR="00D63381" w:rsidRPr="0022762C" w:rsidRDefault="0030674D" w:rsidP="00D63381">
      <w:pPr>
        <w:jc w:val="both"/>
      </w:pPr>
      <w:r w:rsidRPr="0030674D">
        <w:t xml:space="preserve">Χημειοπροφύλαξη πρέπει να λάβουν το ταχύτερο δυνατό όλα τα άτομα που ήρθαν σε στενή επικίνδυνη επαφή με κρούσμα </w:t>
      </w:r>
      <w:r w:rsidR="00A50496">
        <w:t>ΔΜΝ</w:t>
      </w:r>
      <w:r w:rsidRPr="0030674D">
        <w:t>, σε διάστημα 7 ημερών πριν την έναρξη των συμπτωμάτων αυτού, εφόσον δεν υπάρχουν ιατρικές αντενδείξεις</w:t>
      </w:r>
      <w:r>
        <w:t xml:space="preserve"> (για τον ορισμό των στενών επαφών βλέπε </w:t>
      </w:r>
      <w:hyperlink r:id="rId12" w:history="1">
        <w:r w:rsidRPr="00B542A9">
          <w:rPr>
            <w:rStyle w:val="Hyperlink"/>
          </w:rPr>
          <w:t>https://eody.gov.gr/el/nosimata/metadotika/nosimata-kai-themata-ygeias/meningitida-bakteriake.html?me=m3</w:t>
        </w:r>
      </w:hyperlink>
      <w:r>
        <w:t>)</w:t>
      </w:r>
      <w:r w:rsidRPr="0030674D">
        <w:t>. Η χημειοπροφύλαξη πρέπει να χορηγείται ιδανικά το πρώτο 24ωρο μετά την ταυτοποίηση του πρώτου κρούσματος, διότι η συχνότητα δευτερογενούς προσβολής των στενών επαφών είναι ψηλότερη τις πρώτες μέρες μετά την έναρξη της νόσου στο πρώτο κρούσμα.</w:t>
      </w:r>
      <w:r w:rsidR="00D63381" w:rsidRPr="00D63381">
        <w:t xml:space="preserve"> </w:t>
      </w:r>
      <w:r w:rsidR="00037A6C">
        <w:t>[</w:t>
      </w:r>
      <w:r w:rsidR="00037A6C" w:rsidRPr="0022762C">
        <w:rPr>
          <w:color w:val="0000FF"/>
        </w:rPr>
        <w:t>2,</w:t>
      </w:r>
      <w:r w:rsidR="005441AA" w:rsidRPr="0022762C">
        <w:rPr>
          <w:color w:val="0000FF"/>
        </w:rPr>
        <w:t>7</w:t>
      </w:r>
      <w:r w:rsidR="00037A6C">
        <w:t xml:space="preserve">] </w:t>
      </w:r>
      <w:r w:rsidRPr="0030674D">
        <w:t>Η χημειοπροφύλαξη δεν έχει νόημα αν έχουν παρέλθει περισσότερες από 10 ημέρες από την επαφή με το κρούσμα</w:t>
      </w:r>
      <w:r w:rsidR="00037A6C" w:rsidRPr="00037A6C">
        <w:t xml:space="preserve"> [</w:t>
      </w:r>
      <w:r w:rsidR="00037A6C" w:rsidRPr="0073778E">
        <w:rPr>
          <w:color w:val="0000FF"/>
        </w:rPr>
        <w:t>3</w:t>
      </w:r>
      <w:r w:rsidR="00037A6C" w:rsidRPr="00037A6C">
        <w:t>]</w:t>
      </w:r>
      <w:r w:rsidRPr="0030674D">
        <w:t xml:space="preserve">. </w:t>
      </w:r>
    </w:p>
    <w:p w14:paraId="03AA3447" w14:textId="3353B91A" w:rsidR="005441AA" w:rsidRPr="001A202F" w:rsidRDefault="005441AA" w:rsidP="0073778E">
      <w:pPr>
        <w:spacing w:after="360"/>
        <w:jc w:val="both"/>
      </w:pPr>
      <w:r w:rsidRPr="005441AA">
        <w:t>Η ριφαμπικίνη αποτελεί το φάρμακο εκλογής και χορηγείται δύο φορές ημερησίως για δύο ημέρες</w:t>
      </w:r>
      <w:r w:rsidRPr="005441AA">
        <w:t xml:space="preserve"> [</w:t>
      </w:r>
      <w:r w:rsidR="007528D8" w:rsidRPr="007528D8">
        <w:t>3]</w:t>
      </w:r>
      <w:r w:rsidRPr="005441AA">
        <w:t xml:space="preserve">. Εναλλακτικές επιλογές περιλαμβάνουν μία εφάπαξ ενδομυϊκή δόση </w:t>
      </w:r>
      <w:proofErr w:type="spellStart"/>
      <w:r w:rsidRPr="005441AA">
        <w:t>κεφτριαξόνης</w:t>
      </w:r>
      <w:proofErr w:type="spellEnd"/>
      <w:r w:rsidRPr="005441AA">
        <w:t xml:space="preserve"> ή μία εφάπαξ από του στόματος δόση </w:t>
      </w:r>
      <w:proofErr w:type="spellStart"/>
      <w:r w:rsidRPr="005441AA">
        <w:t>σιπροφλοξασίνης</w:t>
      </w:r>
      <w:proofErr w:type="spellEnd"/>
      <w:r w:rsidRPr="005441AA">
        <w:t xml:space="preserve"> σε ενήλικες. Τα αντιβιοτικά αυτά μειώνουν αποτελεσματικά τη ρινοφαρυγγική φορεία και επιτυγχάνουν την εκρίζωση της </w:t>
      </w:r>
      <w:proofErr w:type="spellStart"/>
      <w:r w:rsidRPr="005441AA">
        <w:rPr>
          <w:i/>
          <w:iCs/>
        </w:rPr>
        <w:t>Neisseria</w:t>
      </w:r>
      <w:proofErr w:type="spellEnd"/>
      <w:r w:rsidRPr="005441AA">
        <w:rPr>
          <w:i/>
          <w:iCs/>
        </w:rPr>
        <w:t xml:space="preserve"> </w:t>
      </w:r>
      <w:proofErr w:type="spellStart"/>
      <w:r w:rsidRPr="005441AA">
        <w:rPr>
          <w:i/>
          <w:iCs/>
        </w:rPr>
        <w:t>meningitidis</w:t>
      </w:r>
      <w:proofErr w:type="spellEnd"/>
      <w:r w:rsidRPr="005441AA">
        <w:t xml:space="preserve"> σε ποσοστό περίπου 90–95%</w:t>
      </w:r>
      <w:r w:rsidR="0022762C" w:rsidRPr="0022762C">
        <w:t xml:space="preserve"> </w:t>
      </w:r>
      <w:r w:rsidR="007528D8" w:rsidRPr="0022762C">
        <w:t>[</w:t>
      </w:r>
      <w:r w:rsidR="007528D8" w:rsidRPr="0073778E">
        <w:rPr>
          <w:color w:val="0000FF"/>
        </w:rPr>
        <w:t>2</w:t>
      </w:r>
      <w:r w:rsidR="001A202F" w:rsidRPr="0073778E">
        <w:rPr>
          <w:color w:val="0000FF"/>
        </w:rPr>
        <w:t>,7</w:t>
      </w:r>
      <w:r w:rsidR="0022762C" w:rsidRPr="001A202F">
        <w:t>].</w:t>
      </w:r>
    </w:p>
    <w:p w14:paraId="14530176" w14:textId="544F0707" w:rsidR="0030674D" w:rsidRPr="00472ED8" w:rsidRDefault="00AF6C6E" w:rsidP="00472ED8">
      <w:pPr>
        <w:pStyle w:val="Heading2"/>
        <w:spacing w:after="200"/>
        <w:ind w:left="-6" w:hanging="11"/>
        <w:rPr>
          <w:rFonts w:ascii="Calibri" w:hAnsi="Calibri" w:cs="Calibri"/>
          <w:b/>
          <w:bCs/>
          <w:color w:val="0070C0"/>
          <w:sz w:val="22"/>
          <w:szCs w:val="22"/>
        </w:rPr>
      </w:pPr>
      <w:r w:rsidRPr="00472ED8">
        <w:rPr>
          <w:rFonts w:ascii="Calibri" w:hAnsi="Calibri" w:cs="Calibri"/>
          <w:b/>
          <w:bCs/>
          <w:color w:val="0070C0"/>
          <w:sz w:val="22"/>
          <w:szCs w:val="22"/>
        </w:rPr>
        <w:t>Συμπεράσματα</w:t>
      </w:r>
    </w:p>
    <w:p w14:paraId="0C37E7F8" w14:textId="513617D5" w:rsidR="00AF6C6E" w:rsidRDefault="00AF6C6E" w:rsidP="001967AA">
      <w:pPr>
        <w:jc w:val="both"/>
      </w:pPr>
      <w:r w:rsidRPr="00AF6C6E">
        <w:t xml:space="preserve">Η </w:t>
      </w:r>
      <w:r w:rsidR="00A50496">
        <w:t>ΔΜΝ</w:t>
      </w:r>
      <w:r w:rsidRPr="00AF6C6E">
        <w:t xml:space="preserve"> παραμένει </w:t>
      </w:r>
      <w:r w:rsidR="00472ED8">
        <w:t xml:space="preserve">μεν </w:t>
      </w:r>
      <w:r w:rsidRPr="00AF6C6E">
        <w:t xml:space="preserve">σπάνια </w:t>
      </w:r>
      <w:r>
        <w:t xml:space="preserve">τόσο στη χώρα μας όσο και </w:t>
      </w:r>
      <w:r w:rsidRPr="00AF6C6E">
        <w:t>στις χώρες της ΕΕ/ΕΟΧ</w:t>
      </w:r>
      <w:r>
        <w:t>.</w:t>
      </w:r>
      <w:r w:rsidRPr="00AF6C6E">
        <w:t xml:space="preserve">, αλλά </w:t>
      </w:r>
      <w:r>
        <w:t xml:space="preserve">συνεχίζει να </w:t>
      </w:r>
      <w:r w:rsidRPr="00AF6C6E">
        <w:t xml:space="preserve">αποτελεί μια σοβαρή και απειλητική για τη ζωή νόσο σε όλες τις ηλικιακές ομάδες. </w:t>
      </w:r>
      <w:r>
        <w:t>Σε σύγκριση με την περίοδο της πανδημίας</w:t>
      </w:r>
      <w:r w:rsidR="00472ED8">
        <w:t>, όπου και είχε καταγραφεί η χαμηλότερη δηλούμενη επίπτωση του νοσήματος</w:t>
      </w:r>
      <w:r>
        <w:t>, από το 2023 και έπειτα σημειώθηκε</w:t>
      </w:r>
      <w:r w:rsidRPr="00AF6C6E">
        <w:t xml:space="preserve"> αύξηση στον αριθμό των κρουσμάτων που</w:t>
      </w:r>
      <w:r>
        <w:t xml:space="preserve"> δηλώθηκαν και επιστροφή στα χαμηλά προπανδημικά επίπεδα.</w:t>
      </w:r>
    </w:p>
    <w:p w14:paraId="53FF25CA" w14:textId="356F2B44" w:rsidR="00472ED8" w:rsidRPr="00232793" w:rsidRDefault="00472ED8" w:rsidP="001967AA">
      <w:pPr>
        <w:jc w:val="both"/>
      </w:pPr>
      <w:r w:rsidRPr="00472ED8">
        <w:lastRenderedPageBreak/>
        <w:t xml:space="preserve">Η οροομάδα B ευθύνεται </w:t>
      </w:r>
      <w:r>
        <w:t xml:space="preserve">διαχρονικά </w:t>
      </w:r>
      <w:r w:rsidRPr="00472ED8">
        <w:t xml:space="preserve">για τα περισσότερα κρούσματα </w:t>
      </w:r>
      <w:r w:rsidR="00A50496">
        <w:t>ΔΜΝ</w:t>
      </w:r>
      <w:r>
        <w:t xml:space="preserve"> στη χώρα μας, </w:t>
      </w:r>
      <w:r w:rsidR="00232793">
        <w:t xml:space="preserve">εύρημα ανάλογο με αυτό της επιτήρησης του νοσήματος στα κράτη της </w:t>
      </w:r>
      <w:r w:rsidRPr="00472ED8">
        <w:t>ΕΕ/ΕΟΧ.</w:t>
      </w:r>
      <w:r w:rsidR="00232793">
        <w:t xml:space="preserve"> Τα περιστατικά από οροομάδα </w:t>
      </w:r>
      <w:r w:rsidR="00232793">
        <w:rPr>
          <w:lang w:val="en-US"/>
        </w:rPr>
        <w:t>C</w:t>
      </w:r>
      <w:r w:rsidR="00232793" w:rsidRPr="00232793">
        <w:t xml:space="preserve"> (</w:t>
      </w:r>
      <w:r w:rsidR="00232793">
        <w:t xml:space="preserve">δεύτερη διαχρονικά σε συχνότητα) παραμένουν ιδιαίτερα χαμηλά ιδίως μετά την εφαρμογή στη χώρα μας του αντίστοιχου εμβολιασμού. Αξίζει επίσης να σημειωθεί η χαμηλή συχνότητα περιστατικών από τις </w:t>
      </w:r>
      <w:proofErr w:type="spellStart"/>
      <w:r w:rsidR="00232793">
        <w:t>οροομάδες</w:t>
      </w:r>
      <w:proofErr w:type="spellEnd"/>
      <w:r w:rsidR="00232793">
        <w:t xml:space="preserve"> </w:t>
      </w:r>
      <w:r w:rsidR="00232793">
        <w:rPr>
          <w:lang w:val="en-US"/>
        </w:rPr>
        <w:t>W</w:t>
      </w:r>
      <w:r w:rsidR="00232793" w:rsidRPr="00232793">
        <w:t xml:space="preserve">135 </w:t>
      </w:r>
      <w:r w:rsidR="00232793">
        <w:t xml:space="preserve">και Υ, σε αντίθεση με </w:t>
      </w:r>
      <w:r w:rsidR="005518FE">
        <w:t xml:space="preserve">αυξητικές τάσεις σε </w:t>
      </w:r>
      <w:r w:rsidR="00232793">
        <w:t xml:space="preserve">κάποιες ευρωπαϊκές χώρες </w:t>
      </w:r>
      <w:r w:rsidR="00480F42">
        <w:t xml:space="preserve">που </w:t>
      </w:r>
      <w:r w:rsidR="00232793">
        <w:t xml:space="preserve">πιθανά </w:t>
      </w:r>
      <w:r w:rsidR="00480F42">
        <w:t xml:space="preserve">συνάδει με την </w:t>
      </w:r>
      <w:r w:rsidR="00232793">
        <w:t>έγκαιρη εισαγωγ</w:t>
      </w:r>
      <w:r w:rsidR="00480F42">
        <w:t>ή</w:t>
      </w:r>
      <w:r w:rsidR="00232793">
        <w:t xml:space="preserve"> του </w:t>
      </w:r>
      <w:proofErr w:type="spellStart"/>
      <w:r w:rsidR="00232793">
        <w:t>τετραδύναμου</w:t>
      </w:r>
      <w:proofErr w:type="spellEnd"/>
      <w:r w:rsidR="00232793">
        <w:t xml:space="preserve"> </w:t>
      </w:r>
      <w:proofErr w:type="spellStart"/>
      <w:r w:rsidR="00232793">
        <w:t>μηνιγγιτιδικοκκικού</w:t>
      </w:r>
      <w:proofErr w:type="spellEnd"/>
      <w:r w:rsidR="00232793">
        <w:t xml:space="preserve"> εμβολίου στο εθνικό πρόγραμμα εμβολιασμού της χώρας μας.</w:t>
      </w:r>
    </w:p>
    <w:p w14:paraId="75D3B649" w14:textId="77777777" w:rsidR="008D42B8" w:rsidRDefault="008D42B8" w:rsidP="00D57068">
      <w:pPr>
        <w:jc w:val="both"/>
        <w:rPr>
          <w:rFonts w:ascii="Times New Roman" w:hAnsi="Times New Roman" w:cs="Times New Roman"/>
          <w:b/>
          <w:bCs/>
        </w:rPr>
      </w:pPr>
    </w:p>
    <w:p w14:paraId="4DA00ED0" w14:textId="77777777" w:rsidR="006E0A6F" w:rsidRPr="006E0A6F" w:rsidRDefault="006E0A6F" w:rsidP="006E0A6F">
      <w:pPr>
        <w:jc w:val="both"/>
        <w:rPr>
          <w:color w:val="0070C0"/>
          <w:lang w:val="en-US"/>
        </w:rPr>
      </w:pPr>
      <w:r w:rsidRPr="0040122E">
        <w:rPr>
          <w:rFonts w:eastAsia="Times New Roman"/>
          <w:b/>
          <w:color w:val="0070C0"/>
          <w:lang w:eastAsia="el-GR"/>
        </w:rPr>
        <w:t>Βιβλιογραφικές</w:t>
      </w:r>
      <w:r w:rsidRPr="006E0A6F">
        <w:rPr>
          <w:rFonts w:eastAsia="Times New Roman"/>
          <w:b/>
          <w:color w:val="0070C0"/>
          <w:lang w:val="en-US" w:eastAsia="el-GR"/>
        </w:rPr>
        <w:t xml:space="preserve"> </w:t>
      </w:r>
      <w:r w:rsidRPr="0040122E">
        <w:rPr>
          <w:rFonts w:eastAsia="Times New Roman"/>
          <w:b/>
          <w:color w:val="0070C0"/>
          <w:lang w:eastAsia="el-GR"/>
        </w:rPr>
        <w:t>αναφορές</w:t>
      </w:r>
    </w:p>
    <w:p w14:paraId="519B683D" w14:textId="77777777" w:rsidR="006E0A6F" w:rsidRPr="006B1605" w:rsidRDefault="006E0A6F" w:rsidP="0073778E">
      <w:pPr>
        <w:pStyle w:val="ListParagraph"/>
        <w:numPr>
          <w:ilvl w:val="0"/>
          <w:numId w:val="13"/>
        </w:numPr>
        <w:ind w:left="426" w:hanging="426"/>
        <w:jc w:val="both"/>
      </w:pPr>
      <w:r w:rsidRPr="00037A6C">
        <w:rPr>
          <w:lang w:val="en-US"/>
        </w:rPr>
        <w:t xml:space="preserve">European Centre for Disease Prevention and Control. </w:t>
      </w:r>
      <w:r w:rsidRPr="00037A6C">
        <w:rPr>
          <w:lang w:val="en-US"/>
        </w:rPr>
        <w:t>Invasive meningococcal disease</w:t>
      </w:r>
      <w:r w:rsidRPr="00037A6C">
        <w:rPr>
          <w:lang w:val="en-US"/>
        </w:rPr>
        <w:t>. In: ECDC. Annual epidemiological report for 202</w:t>
      </w:r>
      <w:r w:rsidRPr="00037A6C">
        <w:rPr>
          <w:lang w:val="en-US"/>
        </w:rPr>
        <w:t>3</w:t>
      </w:r>
      <w:r w:rsidRPr="00037A6C">
        <w:rPr>
          <w:lang w:val="en-US"/>
        </w:rPr>
        <w:t>. Stockholm: ECDC; 202</w:t>
      </w:r>
      <w:r w:rsidRPr="00037A6C">
        <w:rPr>
          <w:lang w:val="en-US"/>
        </w:rPr>
        <w:t>5</w:t>
      </w:r>
      <w:r w:rsidRPr="00037A6C">
        <w:rPr>
          <w:lang w:val="en-US"/>
        </w:rPr>
        <w:t xml:space="preserve">. </w:t>
      </w:r>
      <w:r>
        <w:t>Διαθέσιμο</w:t>
      </w:r>
      <w:r w:rsidRPr="006E0A6F">
        <w:t xml:space="preserve"> </w:t>
      </w:r>
      <w:r>
        <w:t>από</w:t>
      </w:r>
      <w:r w:rsidRPr="006E0A6F">
        <w:t>:</w:t>
      </w:r>
      <w:r w:rsidRPr="006B1605">
        <w:tab/>
      </w:r>
      <w:r w:rsidRPr="006E0A6F">
        <w:t xml:space="preserve"> </w:t>
      </w:r>
      <w:hyperlink r:id="rId13" w:history="1">
        <w:r w:rsidRPr="00037A6C">
          <w:rPr>
            <w:rStyle w:val="Hyperlink"/>
            <w:lang w:val="en-US"/>
          </w:rPr>
          <w:t>https</w:t>
        </w:r>
        <w:r w:rsidRPr="006E0A6F">
          <w:rPr>
            <w:rStyle w:val="Hyperlink"/>
          </w:rPr>
          <w:t>://</w:t>
        </w:r>
        <w:r w:rsidRPr="00037A6C">
          <w:rPr>
            <w:rStyle w:val="Hyperlink"/>
            <w:lang w:val="en-US"/>
          </w:rPr>
          <w:t>www</w:t>
        </w:r>
        <w:r w:rsidRPr="006E0A6F">
          <w:rPr>
            <w:rStyle w:val="Hyperlink"/>
          </w:rPr>
          <w:t>.</w:t>
        </w:r>
        <w:proofErr w:type="spellStart"/>
        <w:r w:rsidRPr="00037A6C">
          <w:rPr>
            <w:rStyle w:val="Hyperlink"/>
            <w:lang w:val="en-US"/>
          </w:rPr>
          <w:t>ecdc</w:t>
        </w:r>
        <w:proofErr w:type="spellEnd"/>
        <w:r w:rsidRPr="006E0A6F">
          <w:rPr>
            <w:rStyle w:val="Hyperlink"/>
          </w:rPr>
          <w:t>.</w:t>
        </w:r>
        <w:proofErr w:type="spellStart"/>
        <w:r w:rsidRPr="00037A6C">
          <w:rPr>
            <w:rStyle w:val="Hyperlink"/>
            <w:lang w:val="en-US"/>
          </w:rPr>
          <w:t>europa</w:t>
        </w:r>
        <w:proofErr w:type="spellEnd"/>
        <w:r w:rsidRPr="006E0A6F">
          <w:rPr>
            <w:rStyle w:val="Hyperlink"/>
          </w:rPr>
          <w:t>.</w:t>
        </w:r>
        <w:proofErr w:type="spellStart"/>
        <w:r w:rsidRPr="00037A6C">
          <w:rPr>
            <w:rStyle w:val="Hyperlink"/>
            <w:lang w:val="en-US"/>
          </w:rPr>
          <w:t>eu</w:t>
        </w:r>
        <w:proofErr w:type="spellEnd"/>
        <w:r w:rsidRPr="006E0A6F">
          <w:rPr>
            <w:rStyle w:val="Hyperlink"/>
          </w:rPr>
          <w:t>/</w:t>
        </w:r>
        <w:r w:rsidRPr="00037A6C">
          <w:rPr>
            <w:rStyle w:val="Hyperlink"/>
            <w:lang w:val="en-US"/>
          </w:rPr>
          <w:t>sites</w:t>
        </w:r>
        <w:r w:rsidRPr="006E0A6F">
          <w:rPr>
            <w:rStyle w:val="Hyperlink"/>
          </w:rPr>
          <w:t>/</w:t>
        </w:r>
        <w:r w:rsidRPr="00037A6C">
          <w:rPr>
            <w:rStyle w:val="Hyperlink"/>
            <w:lang w:val="en-US"/>
          </w:rPr>
          <w:t>default</w:t>
        </w:r>
        <w:r w:rsidRPr="006E0A6F">
          <w:rPr>
            <w:rStyle w:val="Hyperlink"/>
          </w:rPr>
          <w:t>/</w:t>
        </w:r>
        <w:r w:rsidRPr="00037A6C">
          <w:rPr>
            <w:rStyle w:val="Hyperlink"/>
            <w:lang w:val="en-US"/>
          </w:rPr>
          <w:t>files</w:t>
        </w:r>
        <w:r w:rsidRPr="006E0A6F">
          <w:rPr>
            <w:rStyle w:val="Hyperlink"/>
          </w:rPr>
          <w:t>/</w:t>
        </w:r>
        <w:r w:rsidRPr="00037A6C">
          <w:rPr>
            <w:rStyle w:val="Hyperlink"/>
            <w:lang w:val="en-US"/>
          </w:rPr>
          <w:t>documents</w:t>
        </w:r>
        <w:r w:rsidRPr="006E0A6F">
          <w:rPr>
            <w:rStyle w:val="Hyperlink"/>
          </w:rPr>
          <w:t>/</w:t>
        </w:r>
        <w:r w:rsidRPr="00037A6C">
          <w:rPr>
            <w:rStyle w:val="Hyperlink"/>
            <w:lang w:val="en-US"/>
          </w:rPr>
          <w:t>invasive</w:t>
        </w:r>
        <w:r w:rsidRPr="006E0A6F">
          <w:rPr>
            <w:rStyle w:val="Hyperlink"/>
          </w:rPr>
          <w:t>-</w:t>
        </w:r>
        <w:r w:rsidRPr="00037A6C">
          <w:rPr>
            <w:rStyle w:val="Hyperlink"/>
            <w:lang w:val="en-US"/>
          </w:rPr>
          <w:t>meningococcal</w:t>
        </w:r>
        <w:r w:rsidRPr="006E0A6F">
          <w:rPr>
            <w:rStyle w:val="Hyperlink"/>
          </w:rPr>
          <w:t>-</w:t>
        </w:r>
        <w:r w:rsidRPr="00037A6C">
          <w:rPr>
            <w:rStyle w:val="Hyperlink"/>
            <w:lang w:val="en-US"/>
          </w:rPr>
          <w:t>disease</w:t>
        </w:r>
        <w:r w:rsidRPr="006E0A6F">
          <w:rPr>
            <w:rStyle w:val="Hyperlink"/>
          </w:rPr>
          <w:t>-</w:t>
        </w:r>
        <w:r w:rsidRPr="00037A6C">
          <w:rPr>
            <w:rStyle w:val="Hyperlink"/>
            <w:lang w:val="en-US"/>
          </w:rPr>
          <w:t>annual</w:t>
        </w:r>
        <w:r w:rsidRPr="006E0A6F">
          <w:rPr>
            <w:rStyle w:val="Hyperlink"/>
          </w:rPr>
          <w:t>-</w:t>
        </w:r>
        <w:r w:rsidRPr="00037A6C">
          <w:rPr>
            <w:rStyle w:val="Hyperlink"/>
            <w:lang w:val="en-US"/>
          </w:rPr>
          <w:t>epidemiological</w:t>
        </w:r>
        <w:r w:rsidRPr="006E0A6F">
          <w:rPr>
            <w:rStyle w:val="Hyperlink"/>
          </w:rPr>
          <w:t>-</w:t>
        </w:r>
        <w:r w:rsidRPr="00037A6C">
          <w:rPr>
            <w:rStyle w:val="Hyperlink"/>
            <w:lang w:val="en-US"/>
          </w:rPr>
          <w:t>report</w:t>
        </w:r>
        <w:r w:rsidRPr="006E0A6F">
          <w:rPr>
            <w:rStyle w:val="Hyperlink"/>
          </w:rPr>
          <w:t>-2023_0.</w:t>
        </w:r>
        <w:r w:rsidRPr="00037A6C">
          <w:rPr>
            <w:rStyle w:val="Hyperlink"/>
            <w:lang w:val="en-US"/>
          </w:rPr>
          <w:t>pdf</w:t>
        </w:r>
      </w:hyperlink>
      <w:r w:rsidRPr="006E0A6F">
        <w:t xml:space="preserve"> </w:t>
      </w:r>
    </w:p>
    <w:p w14:paraId="7135F155" w14:textId="7FBD9B0C" w:rsidR="006E0A6F" w:rsidRPr="00037A6C" w:rsidRDefault="00D56EA2" w:rsidP="0073778E">
      <w:pPr>
        <w:pStyle w:val="ListParagraph"/>
        <w:numPr>
          <w:ilvl w:val="0"/>
          <w:numId w:val="13"/>
        </w:numPr>
        <w:ind w:left="426" w:hanging="426"/>
        <w:jc w:val="both"/>
        <w:rPr>
          <w:rFonts w:ascii="Times New Roman" w:hAnsi="Times New Roman" w:cs="Times New Roman"/>
          <w:b/>
          <w:bCs/>
          <w:lang w:val="en-US"/>
        </w:rPr>
      </w:pPr>
      <w:proofErr w:type="spellStart"/>
      <w:r w:rsidRPr="00037A6C">
        <w:rPr>
          <w:lang w:val="en-US"/>
        </w:rPr>
        <w:t>Mbaeyi</w:t>
      </w:r>
      <w:proofErr w:type="spellEnd"/>
      <w:r w:rsidRPr="00037A6C">
        <w:rPr>
          <w:lang w:val="en-US"/>
        </w:rPr>
        <w:t xml:space="preserve"> S</w:t>
      </w:r>
      <w:r w:rsidRPr="00037A6C">
        <w:rPr>
          <w:lang w:val="en-US"/>
        </w:rPr>
        <w:t>, Duffy</w:t>
      </w:r>
      <w:r w:rsidRPr="00037A6C">
        <w:rPr>
          <w:lang w:val="en-US"/>
        </w:rPr>
        <w:t xml:space="preserve"> J</w:t>
      </w:r>
      <w:r w:rsidRPr="00037A6C">
        <w:rPr>
          <w:lang w:val="en-US"/>
        </w:rPr>
        <w:t>, McNamara</w:t>
      </w:r>
      <w:r w:rsidRPr="00037A6C">
        <w:rPr>
          <w:lang w:val="en-US"/>
        </w:rPr>
        <w:t xml:space="preserve"> LA. Meningococcal Disease in </w:t>
      </w:r>
      <w:r w:rsidR="006E0A6F" w:rsidRPr="00037A6C">
        <w:rPr>
          <w:lang w:val="en-US"/>
        </w:rPr>
        <w:t xml:space="preserve">Centers for Disease Control and Prevention. Epidemiology and Prevention of Vaccine-Preventable Diseases. Hall E., </w:t>
      </w:r>
      <w:proofErr w:type="spellStart"/>
      <w:r w:rsidR="006E0A6F" w:rsidRPr="00037A6C">
        <w:rPr>
          <w:lang w:val="en-US"/>
        </w:rPr>
        <w:t>Wodi</w:t>
      </w:r>
      <w:proofErr w:type="spellEnd"/>
      <w:r w:rsidR="006E0A6F" w:rsidRPr="00037A6C">
        <w:rPr>
          <w:lang w:val="en-US"/>
        </w:rPr>
        <w:t xml:space="preserve"> A.P., Hamborsky J., et al., eds. 14th ed. Washington, D.C. Public Health Foundation, 2021.</w:t>
      </w:r>
      <w:r w:rsidR="006E0A6F" w:rsidRPr="00037A6C">
        <w:rPr>
          <w:lang w:val="en-US"/>
        </w:rPr>
        <w:tab/>
      </w:r>
    </w:p>
    <w:p w14:paraId="4840B616" w14:textId="3F131B9E" w:rsidR="006E0A6F" w:rsidRDefault="006B1605" w:rsidP="0073778E">
      <w:pPr>
        <w:pStyle w:val="ListParagraph"/>
        <w:numPr>
          <w:ilvl w:val="0"/>
          <w:numId w:val="13"/>
        </w:numPr>
        <w:ind w:left="426" w:hanging="426"/>
        <w:jc w:val="both"/>
        <w:rPr>
          <w:lang w:val="en-US"/>
        </w:rPr>
      </w:pPr>
      <w:r w:rsidRPr="00037A6C">
        <w:rPr>
          <w:lang w:val="en-US"/>
        </w:rPr>
        <w:t>Reynolds M</w:t>
      </w:r>
      <w:r w:rsidR="00D56EA2" w:rsidRPr="00037A6C">
        <w:rPr>
          <w:lang w:val="en-US"/>
        </w:rPr>
        <w:t>. M</w:t>
      </w:r>
      <w:r w:rsidRPr="00037A6C">
        <w:rPr>
          <w:lang w:val="en-US"/>
        </w:rPr>
        <w:t>eningitis</w:t>
      </w:r>
      <w:r w:rsidR="00D56EA2" w:rsidRPr="00037A6C">
        <w:rPr>
          <w:lang w:val="en-US"/>
        </w:rPr>
        <w:t xml:space="preserve">. In: Control of communicable diseases manual, 20th edition. </w:t>
      </w:r>
      <w:proofErr w:type="spellStart"/>
      <w:r w:rsidR="00D56EA2" w:rsidRPr="00037A6C">
        <w:rPr>
          <w:lang w:val="en-US"/>
        </w:rPr>
        <w:t>Heymann</w:t>
      </w:r>
      <w:proofErr w:type="spellEnd"/>
      <w:r w:rsidR="00D56EA2" w:rsidRPr="00037A6C">
        <w:rPr>
          <w:lang w:val="en-US"/>
        </w:rPr>
        <w:t xml:space="preserve"> DL </w:t>
      </w:r>
      <w:proofErr w:type="spellStart"/>
      <w:r w:rsidR="00D56EA2" w:rsidRPr="00037A6C">
        <w:rPr>
          <w:lang w:val="en-US"/>
        </w:rPr>
        <w:t>ed</w:t>
      </w:r>
      <w:proofErr w:type="spellEnd"/>
      <w:r w:rsidR="00D56EA2" w:rsidRPr="00037A6C">
        <w:rPr>
          <w:lang w:val="en-US"/>
        </w:rPr>
        <w:t xml:space="preserve">. American </w:t>
      </w:r>
      <w:proofErr w:type="spellStart"/>
      <w:r w:rsidR="00D56EA2" w:rsidRPr="00037A6C">
        <w:rPr>
          <w:lang w:val="en-US"/>
        </w:rPr>
        <w:t>Public</w:t>
      </w:r>
      <w:proofErr w:type="spellEnd"/>
      <w:r w:rsidR="00D56EA2" w:rsidRPr="00037A6C">
        <w:rPr>
          <w:lang w:val="en-US"/>
        </w:rPr>
        <w:t xml:space="preserve"> Health Association 2015; p. 4</w:t>
      </w:r>
      <w:r w:rsidRPr="00037A6C">
        <w:rPr>
          <w:lang w:val="en-US"/>
        </w:rPr>
        <w:t>01</w:t>
      </w:r>
      <w:r w:rsidR="00D56EA2" w:rsidRPr="00037A6C">
        <w:rPr>
          <w:lang w:val="en-US"/>
        </w:rPr>
        <w:t>-4</w:t>
      </w:r>
      <w:r w:rsidRPr="00037A6C">
        <w:rPr>
          <w:lang w:val="en-US"/>
        </w:rPr>
        <w:t>1</w:t>
      </w:r>
      <w:r w:rsidR="00D56EA2" w:rsidRPr="00037A6C">
        <w:rPr>
          <w:lang w:val="en-US"/>
        </w:rPr>
        <w:t>3.</w:t>
      </w:r>
    </w:p>
    <w:p w14:paraId="61A0F29A" w14:textId="117CEC86" w:rsidR="003414BE" w:rsidRPr="003414BE" w:rsidRDefault="003414BE" w:rsidP="0073778E">
      <w:pPr>
        <w:pStyle w:val="ListParagraph"/>
        <w:numPr>
          <w:ilvl w:val="0"/>
          <w:numId w:val="13"/>
        </w:numPr>
        <w:ind w:left="426" w:hanging="426"/>
        <w:jc w:val="both"/>
      </w:pPr>
      <w:r>
        <w:rPr>
          <w:lang w:val="en-US"/>
        </w:rPr>
        <w:t>European Centre for Disease Prevention and Control. Disease information about meningococcal disease. Factsheet</w:t>
      </w:r>
      <w:r w:rsidRPr="003414BE">
        <w:t xml:space="preserve">. </w:t>
      </w:r>
      <w:r>
        <w:t>Διαθέσιμο</w:t>
      </w:r>
      <w:r w:rsidRPr="006E0A6F">
        <w:t xml:space="preserve"> </w:t>
      </w:r>
      <w:r>
        <w:t>από</w:t>
      </w:r>
      <w:r w:rsidRPr="006E0A6F">
        <w:t>:</w:t>
      </w:r>
      <w:r w:rsidRPr="003414BE">
        <w:t xml:space="preserve"> </w:t>
      </w:r>
      <w:hyperlink r:id="rId14" w:history="1">
        <w:r w:rsidRPr="00F350EB">
          <w:rPr>
            <w:rStyle w:val="Hyperlink"/>
            <w:lang w:val="en-US"/>
          </w:rPr>
          <w:t>https</w:t>
        </w:r>
        <w:r w:rsidRPr="00F350EB">
          <w:rPr>
            <w:rStyle w:val="Hyperlink"/>
          </w:rPr>
          <w:t>://</w:t>
        </w:r>
        <w:r w:rsidRPr="00F350EB">
          <w:rPr>
            <w:rStyle w:val="Hyperlink"/>
            <w:lang w:val="en-US"/>
          </w:rPr>
          <w:t>www</w:t>
        </w:r>
        <w:r w:rsidRPr="00F350EB">
          <w:rPr>
            <w:rStyle w:val="Hyperlink"/>
          </w:rPr>
          <w:t>.</w:t>
        </w:r>
        <w:proofErr w:type="spellStart"/>
        <w:r w:rsidRPr="00F350EB">
          <w:rPr>
            <w:rStyle w:val="Hyperlink"/>
            <w:lang w:val="en-US"/>
          </w:rPr>
          <w:t>ecdc</w:t>
        </w:r>
        <w:proofErr w:type="spellEnd"/>
        <w:r w:rsidRPr="00F350EB">
          <w:rPr>
            <w:rStyle w:val="Hyperlink"/>
          </w:rPr>
          <w:t>.</w:t>
        </w:r>
        <w:proofErr w:type="spellStart"/>
        <w:r w:rsidRPr="00F350EB">
          <w:rPr>
            <w:rStyle w:val="Hyperlink"/>
            <w:lang w:val="en-US"/>
          </w:rPr>
          <w:t>europa</w:t>
        </w:r>
        <w:proofErr w:type="spellEnd"/>
        <w:r w:rsidRPr="00F350EB">
          <w:rPr>
            <w:rStyle w:val="Hyperlink"/>
          </w:rPr>
          <w:t>.</w:t>
        </w:r>
        <w:proofErr w:type="spellStart"/>
        <w:r w:rsidRPr="00F350EB">
          <w:rPr>
            <w:rStyle w:val="Hyperlink"/>
            <w:lang w:val="en-US"/>
          </w:rPr>
          <w:t>eu</w:t>
        </w:r>
        <w:proofErr w:type="spellEnd"/>
        <w:r w:rsidRPr="00F350EB">
          <w:rPr>
            <w:rStyle w:val="Hyperlink"/>
          </w:rPr>
          <w:t>/</w:t>
        </w:r>
        <w:proofErr w:type="spellStart"/>
        <w:r w:rsidRPr="00F350EB">
          <w:rPr>
            <w:rStyle w:val="Hyperlink"/>
            <w:lang w:val="en-US"/>
          </w:rPr>
          <w:t>en</w:t>
        </w:r>
        <w:proofErr w:type="spellEnd"/>
        <w:r w:rsidRPr="00F350EB">
          <w:rPr>
            <w:rStyle w:val="Hyperlink"/>
          </w:rPr>
          <w:t>/</w:t>
        </w:r>
        <w:r w:rsidRPr="00F350EB">
          <w:rPr>
            <w:rStyle w:val="Hyperlink"/>
            <w:lang w:val="en-US"/>
          </w:rPr>
          <w:t>meningococcal</w:t>
        </w:r>
        <w:r w:rsidRPr="00F350EB">
          <w:rPr>
            <w:rStyle w:val="Hyperlink"/>
          </w:rPr>
          <w:t>-</w:t>
        </w:r>
        <w:r w:rsidRPr="00F350EB">
          <w:rPr>
            <w:rStyle w:val="Hyperlink"/>
            <w:lang w:val="en-US"/>
          </w:rPr>
          <w:t>disease</w:t>
        </w:r>
        <w:r w:rsidRPr="00F350EB">
          <w:rPr>
            <w:rStyle w:val="Hyperlink"/>
          </w:rPr>
          <w:t>/</w:t>
        </w:r>
        <w:r w:rsidRPr="00F350EB">
          <w:rPr>
            <w:rStyle w:val="Hyperlink"/>
            <w:lang w:val="en-US"/>
          </w:rPr>
          <w:t>factsheet</w:t>
        </w:r>
      </w:hyperlink>
      <w:r w:rsidRPr="003414BE">
        <w:t xml:space="preserve"> </w:t>
      </w:r>
    </w:p>
    <w:p w14:paraId="6B9F2FAD" w14:textId="43A0A7E2" w:rsidR="00846D47" w:rsidRDefault="00846D47" w:rsidP="0073778E">
      <w:pPr>
        <w:pStyle w:val="ListParagraph"/>
        <w:numPr>
          <w:ilvl w:val="0"/>
          <w:numId w:val="13"/>
        </w:numPr>
        <w:ind w:left="426" w:hanging="426"/>
        <w:jc w:val="both"/>
      </w:pPr>
      <w:r w:rsidRPr="00037A6C">
        <w:rPr>
          <w:lang w:val="en-US"/>
        </w:rPr>
        <w:t xml:space="preserve">WHO. </w:t>
      </w:r>
      <w:r w:rsidRPr="00037A6C">
        <w:rPr>
          <w:lang w:val="en-US"/>
        </w:rPr>
        <w:t>The immunological basis for immunization series: module 15: meningococcal disease. Update 2020. Geneva: World Health Organization; 2020</w:t>
      </w:r>
    </w:p>
    <w:p w14:paraId="69B17F83" w14:textId="77777777" w:rsidR="003414BE" w:rsidRPr="003414BE" w:rsidRDefault="003414BE" w:rsidP="0073778E">
      <w:pPr>
        <w:pStyle w:val="ListParagraph"/>
        <w:numPr>
          <w:ilvl w:val="0"/>
          <w:numId w:val="13"/>
        </w:numPr>
        <w:ind w:left="426" w:hanging="426"/>
        <w:jc w:val="both"/>
        <w:rPr>
          <w:lang w:val="en-US"/>
        </w:rPr>
      </w:pPr>
      <w:r w:rsidRPr="003414BE">
        <w:rPr>
          <w:lang w:val="en-US"/>
        </w:rPr>
        <w:t xml:space="preserve">Guedes S, </w:t>
      </w:r>
      <w:proofErr w:type="spellStart"/>
      <w:r w:rsidRPr="003414BE">
        <w:rPr>
          <w:lang w:val="en-US"/>
        </w:rPr>
        <w:t>Bricout</w:t>
      </w:r>
      <w:proofErr w:type="spellEnd"/>
      <w:r w:rsidRPr="003414BE">
        <w:rPr>
          <w:lang w:val="en-US"/>
        </w:rPr>
        <w:t xml:space="preserve"> H, Langevin E, Tong S, Bertrand-</w:t>
      </w:r>
      <w:proofErr w:type="spellStart"/>
      <w:r w:rsidRPr="003414BE">
        <w:rPr>
          <w:lang w:val="en-US"/>
        </w:rPr>
        <w:t>Gerentes</w:t>
      </w:r>
      <w:proofErr w:type="spellEnd"/>
      <w:r w:rsidRPr="003414BE">
        <w:rPr>
          <w:lang w:val="en-US"/>
        </w:rPr>
        <w:t xml:space="preserve"> I. Epidemiology of invasive meningococcal disease and sequelae in the United Kingdom during the period 2008 to 2017 - a secondary database analysis. BMC Public Health. 2022 Mar 17;22(1):521.</w:t>
      </w:r>
    </w:p>
    <w:p w14:paraId="04F730BA" w14:textId="526CCF61" w:rsidR="007B1C2F" w:rsidRPr="003414BE" w:rsidRDefault="007B1C2F" w:rsidP="0073778E">
      <w:pPr>
        <w:pStyle w:val="ListParagraph"/>
        <w:numPr>
          <w:ilvl w:val="0"/>
          <w:numId w:val="13"/>
        </w:numPr>
        <w:ind w:left="426" w:hanging="426"/>
        <w:jc w:val="both"/>
      </w:pPr>
      <w:r w:rsidRPr="00037A6C">
        <w:rPr>
          <w:lang w:val="en-US"/>
        </w:rPr>
        <w:t xml:space="preserve">Cohn AC, MacNeil JR, Clark TA, Ortega-Sanchez IR, Briere EZ, Meissner HC, Baker CJ, </w:t>
      </w:r>
      <w:proofErr w:type="spellStart"/>
      <w:r w:rsidRPr="00037A6C">
        <w:rPr>
          <w:lang w:val="en-US"/>
        </w:rPr>
        <w:t>Messonnier</w:t>
      </w:r>
      <w:proofErr w:type="spellEnd"/>
      <w:r w:rsidRPr="00037A6C">
        <w:rPr>
          <w:lang w:val="en-US"/>
        </w:rPr>
        <w:t xml:space="preserve"> NE; Centers for Disease Control and Prevention (CDC). Prevention and control of meningococcal disease: recommendations of the Advisory Committee on Immunization Practices (ACIP). </w:t>
      </w:r>
      <w:r w:rsidRPr="007B1C2F">
        <w:t xml:space="preserve">MMWR </w:t>
      </w:r>
      <w:proofErr w:type="spellStart"/>
      <w:r w:rsidRPr="007B1C2F">
        <w:t>Recomm</w:t>
      </w:r>
      <w:proofErr w:type="spellEnd"/>
      <w:r w:rsidRPr="007B1C2F">
        <w:t xml:space="preserve"> </w:t>
      </w:r>
      <w:proofErr w:type="spellStart"/>
      <w:r w:rsidRPr="007B1C2F">
        <w:t>Rep</w:t>
      </w:r>
      <w:proofErr w:type="spellEnd"/>
      <w:r w:rsidRPr="007B1C2F">
        <w:t xml:space="preserve">. 2013 </w:t>
      </w:r>
      <w:proofErr w:type="spellStart"/>
      <w:r w:rsidRPr="007B1C2F">
        <w:t>Mar</w:t>
      </w:r>
      <w:proofErr w:type="spellEnd"/>
      <w:r w:rsidRPr="007B1C2F">
        <w:t xml:space="preserve"> 22;62(RR-2):1-28. </w:t>
      </w:r>
    </w:p>
    <w:p w14:paraId="17106F33" w14:textId="77777777" w:rsidR="00D83A2A" w:rsidRPr="00846D47" w:rsidRDefault="00D83A2A" w:rsidP="005D6E0A">
      <w:pPr>
        <w:spacing w:after="0" w:line="240" w:lineRule="auto"/>
        <w:jc w:val="both"/>
        <w:rPr>
          <w:lang w:val="en-US"/>
        </w:rPr>
      </w:pPr>
    </w:p>
    <w:p w14:paraId="31C2A2BA" w14:textId="77777777" w:rsidR="0073778E" w:rsidRDefault="0073778E" w:rsidP="00534113">
      <w:pPr>
        <w:pStyle w:val="Pa10"/>
        <w:jc w:val="right"/>
        <w:rPr>
          <w:rFonts w:cs="Verdana"/>
          <w:i/>
          <w:iCs/>
          <w:color w:val="000000"/>
          <w:sz w:val="20"/>
          <w:szCs w:val="20"/>
          <w:lang w:val="en-US"/>
        </w:rPr>
      </w:pPr>
    </w:p>
    <w:p w14:paraId="6C86C5E6" w14:textId="5316EE59" w:rsidR="00534113" w:rsidRDefault="0057097A" w:rsidP="00534113">
      <w:pPr>
        <w:pStyle w:val="Pa10"/>
        <w:jc w:val="right"/>
        <w:rPr>
          <w:rFonts w:cs="Verdana"/>
          <w:i/>
          <w:iCs/>
          <w:color w:val="000000"/>
          <w:sz w:val="20"/>
          <w:szCs w:val="20"/>
        </w:rPr>
      </w:pPr>
      <w:r>
        <w:rPr>
          <w:rFonts w:cs="Verdana"/>
          <w:i/>
          <w:iCs/>
          <w:color w:val="000000"/>
          <w:sz w:val="20"/>
          <w:szCs w:val="20"/>
        </w:rPr>
        <w:t xml:space="preserve">Δρ. </w:t>
      </w:r>
      <w:r w:rsidR="002E180F">
        <w:rPr>
          <w:rFonts w:cs="Verdana"/>
          <w:i/>
          <w:iCs/>
          <w:color w:val="000000"/>
          <w:sz w:val="20"/>
          <w:szCs w:val="20"/>
        </w:rPr>
        <w:t>Γεωργακοπούλου Θεανώ,</w:t>
      </w:r>
      <w:r w:rsidR="00B60255">
        <w:rPr>
          <w:rFonts w:cs="Verdana"/>
          <w:i/>
          <w:iCs/>
          <w:color w:val="000000"/>
          <w:sz w:val="20"/>
          <w:szCs w:val="20"/>
        </w:rPr>
        <w:t xml:space="preserve"> </w:t>
      </w:r>
      <w:r>
        <w:rPr>
          <w:rFonts w:cs="Verdana"/>
          <w:i/>
          <w:iCs/>
          <w:color w:val="000000"/>
          <w:sz w:val="20"/>
          <w:szCs w:val="20"/>
        </w:rPr>
        <w:t>Παιδίατρος-Λοιμωξιολόγος</w:t>
      </w:r>
      <w:r w:rsidR="002E180F">
        <w:rPr>
          <w:rFonts w:cs="Verdana"/>
          <w:i/>
          <w:iCs/>
          <w:color w:val="000000"/>
          <w:sz w:val="20"/>
          <w:szCs w:val="20"/>
        </w:rPr>
        <w:t xml:space="preserve"> </w:t>
      </w:r>
    </w:p>
    <w:p w14:paraId="0963089C" w14:textId="77777777" w:rsidR="00184B97" w:rsidRDefault="00184B97" w:rsidP="00184B97">
      <w:pPr>
        <w:pStyle w:val="Pa10"/>
        <w:jc w:val="right"/>
        <w:rPr>
          <w:rFonts w:cs="Verdana"/>
          <w:i/>
          <w:iCs/>
          <w:color w:val="000000"/>
          <w:sz w:val="20"/>
          <w:szCs w:val="20"/>
        </w:rPr>
      </w:pPr>
    </w:p>
    <w:p w14:paraId="374E0C7C" w14:textId="77777777" w:rsidR="00D83A2A" w:rsidRDefault="00D83A2A" w:rsidP="00184B97">
      <w:pPr>
        <w:pStyle w:val="Pa10"/>
        <w:jc w:val="right"/>
        <w:rPr>
          <w:rFonts w:cs="Verdana"/>
          <w:color w:val="000000"/>
          <w:sz w:val="20"/>
          <w:szCs w:val="20"/>
        </w:rPr>
      </w:pPr>
    </w:p>
    <w:p w14:paraId="5D915E96" w14:textId="3BFBF6D5" w:rsidR="000B7C74" w:rsidRPr="000B7C74" w:rsidRDefault="000B7C74" w:rsidP="000B7C74">
      <w:pPr>
        <w:jc w:val="right"/>
      </w:pPr>
      <w:r w:rsidRPr="000B7C74">
        <w:t xml:space="preserve">Τελευταία επικαιροποίηση </w:t>
      </w:r>
      <w:r w:rsidR="006E0A6F">
        <w:t>Μάιος</w:t>
      </w:r>
      <w:r w:rsidRPr="000B7C74">
        <w:t xml:space="preserve"> 202</w:t>
      </w:r>
      <w:r w:rsidR="00C16ADB">
        <w:t>6</w:t>
      </w:r>
    </w:p>
    <w:p w14:paraId="1B87C0E0" w14:textId="77777777" w:rsidR="00883EEB" w:rsidRPr="000B7C74" w:rsidRDefault="00883EEB" w:rsidP="00835E71">
      <w:pPr>
        <w:tabs>
          <w:tab w:val="left" w:pos="6015"/>
        </w:tabs>
        <w:rPr>
          <w:lang w:eastAsia="el-GR"/>
        </w:rPr>
      </w:pPr>
    </w:p>
    <w:sectPr w:rsidR="00883EEB" w:rsidRPr="000B7C74" w:rsidSect="00C16ADB">
      <w:footerReference w:type="default" r:id="rId15"/>
      <w:pgSz w:w="11906" w:h="16838"/>
      <w:pgMar w:top="1135" w:right="1274" w:bottom="1276" w:left="1418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01FB" w14:textId="77777777" w:rsidR="00164D2C" w:rsidRDefault="00164D2C" w:rsidP="00835E71">
      <w:pPr>
        <w:spacing w:after="0" w:line="240" w:lineRule="auto"/>
      </w:pPr>
      <w:r>
        <w:separator/>
      </w:r>
    </w:p>
  </w:endnote>
  <w:endnote w:type="continuationSeparator" w:id="0">
    <w:p w14:paraId="274ABFFE" w14:textId="77777777" w:rsidR="00164D2C" w:rsidRDefault="00164D2C" w:rsidP="00835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39F24" w14:textId="77777777" w:rsidR="0092523B" w:rsidRPr="00AC378C" w:rsidRDefault="0092523B" w:rsidP="00835E71">
    <w:pPr>
      <w:pStyle w:val="Footer"/>
      <w:spacing w:after="0"/>
      <w:ind w:right="357"/>
      <w:jc w:val="center"/>
      <w:rPr>
        <w:b/>
        <w:color w:val="FF0000"/>
        <w:sz w:val="18"/>
        <w:szCs w:val="18"/>
      </w:rPr>
    </w:pPr>
    <w:r>
      <w:rPr>
        <w:b/>
        <w:color w:val="FF0000"/>
        <w:sz w:val="18"/>
        <w:szCs w:val="18"/>
      </w:rPr>
      <w:t>ΕΘΝΙΚΟΣ ΟΡΓΑΝΙΣΜΟΣ ΔΗΜΟΣΙΑΣ ΥΓΕΙΑΣ (Ε.Ο.Δ.Υ</w:t>
    </w:r>
    <w:r w:rsidRPr="00AC378C">
      <w:rPr>
        <w:b/>
        <w:color w:val="FF0000"/>
        <w:sz w:val="18"/>
        <w:szCs w:val="18"/>
      </w:rPr>
      <w:t>)</w:t>
    </w:r>
  </w:p>
  <w:p w14:paraId="5F57D754" w14:textId="77777777" w:rsidR="001B46A1" w:rsidRPr="00F3023B" w:rsidRDefault="001B46A1" w:rsidP="001B46A1">
    <w:pPr>
      <w:pStyle w:val="Footer"/>
      <w:framePr w:w="166" w:h="421" w:hRule="exact" w:wrap="around" w:vAnchor="text" w:hAnchor="page" w:x="11296" w:y="1"/>
      <w:rPr>
        <w:rStyle w:val="PageNumber"/>
        <w:sz w:val="20"/>
        <w:szCs w:val="20"/>
      </w:rPr>
    </w:pPr>
    <w:r w:rsidRPr="00F3023B">
      <w:rPr>
        <w:rStyle w:val="PageNumber"/>
        <w:sz w:val="20"/>
        <w:szCs w:val="20"/>
      </w:rPr>
      <w:fldChar w:fldCharType="begin"/>
    </w:r>
    <w:r w:rsidRPr="00F3023B">
      <w:rPr>
        <w:rStyle w:val="PageNumber"/>
        <w:sz w:val="20"/>
        <w:szCs w:val="20"/>
      </w:rPr>
      <w:instrText xml:space="preserve">PAGE  </w:instrText>
    </w:r>
    <w:r w:rsidRPr="00F3023B">
      <w:rPr>
        <w:rStyle w:val="PageNumber"/>
        <w:sz w:val="20"/>
        <w:szCs w:val="20"/>
      </w:rPr>
      <w:fldChar w:fldCharType="separate"/>
    </w:r>
    <w:r>
      <w:rPr>
        <w:rStyle w:val="PageNumber"/>
        <w:sz w:val="20"/>
        <w:szCs w:val="20"/>
      </w:rPr>
      <w:t>6</w:t>
    </w:r>
    <w:r w:rsidRPr="00F3023B">
      <w:rPr>
        <w:rStyle w:val="PageNumber"/>
        <w:sz w:val="20"/>
        <w:szCs w:val="20"/>
      </w:rPr>
      <w:fldChar w:fldCharType="end"/>
    </w:r>
  </w:p>
  <w:p w14:paraId="308D14BA" w14:textId="2001ECBC" w:rsidR="0092523B" w:rsidRPr="005E73C0" w:rsidRDefault="0092523B" w:rsidP="00835E71">
    <w:pPr>
      <w:pStyle w:val="Footer"/>
      <w:spacing w:after="0"/>
      <w:ind w:right="357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Διεύθυνση </w:t>
    </w:r>
    <w:r w:rsidRPr="005E73C0">
      <w:rPr>
        <w:b/>
        <w:sz w:val="16"/>
        <w:szCs w:val="16"/>
      </w:rPr>
      <w:t>Επιδημιολ</w:t>
    </w:r>
    <w:r>
      <w:rPr>
        <w:b/>
        <w:sz w:val="16"/>
        <w:szCs w:val="16"/>
      </w:rPr>
      <w:t xml:space="preserve">ογικής Επιτήρησης </w:t>
    </w:r>
    <w:r w:rsidR="007B4D2D">
      <w:rPr>
        <w:b/>
        <w:sz w:val="16"/>
        <w:szCs w:val="16"/>
      </w:rPr>
      <w:t xml:space="preserve">και Πρόληψης Μεταδοτικών </w:t>
    </w:r>
    <w:r>
      <w:rPr>
        <w:b/>
        <w:sz w:val="16"/>
        <w:szCs w:val="16"/>
      </w:rPr>
      <w:t>Νοσ</w:t>
    </w:r>
    <w:r w:rsidR="007B4D2D">
      <w:rPr>
        <w:b/>
        <w:sz w:val="16"/>
        <w:szCs w:val="16"/>
      </w:rPr>
      <w:t>η</w:t>
    </w:r>
    <w:r>
      <w:rPr>
        <w:b/>
        <w:sz w:val="16"/>
        <w:szCs w:val="16"/>
      </w:rPr>
      <w:t>μ</w:t>
    </w:r>
    <w:r w:rsidR="007B4D2D">
      <w:rPr>
        <w:b/>
        <w:sz w:val="16"/>
        <w:szCs w:val="16"/>
      </w:rPr>
      <w:t>ά</w:t>
    </w:r>
    <w:r>
      <w:rPr>
        <w:b/>
        <w:sz w:val="16"/>
        <w:szCs w:val="16"/>
      </w:rPr>
      <w:t>τ</w:t>
    </w:r>
    <w:r w:rsidR="007B4D2D">
      <w:rPr>
        <w:b/>
        <w:sz w:val="16"/>
        <w:szCs w:val="16"/>
      </w:rPr>
      <w:t>ων</w:t>
    </w:r>
  </w:p>
  <w:p w14:paraId="2F60E5BC" w14:textId="77777777" w:rsidR="0092523B" w:rsidRPr="0058490A" w:rsidRDefault="0092523B" w:rsidP="00835E71">
    <w:pPr>
      <w:pStyle w:val="Footer"/>
      <w:spacing w:after="0"/>
      <w:ind w:right="357"/>
      <w:jc w:val="center"/>
      <w:rPr>
        <w:b/>
        <w:sz w:val="16"/>
        <w:szCs w:val="16"/>
      </w:rPr>
    </w:pPr>
    <w:r>
      <w:rPr>
        <w:b/>
        <w:sz w:val="16"/>
        <w:szCs w:val="16"/>
      </w:rPr>
      <w:t xml:space="preserve">Τμήμα </w:t>
    </w:r>
    <w:r w:rsidRPr="005E73C0">
      <w:rPr>
        <w:b/>
        <w:sz w:val="16"/>
        <w:szCs w:val="16"/>
      </w:rPr>
      <w:t xml:space="preserve">Νοσημάτων που Προλαμβάνονται με Εμβολιασμό </w:t>
    </w:r>
    <w:r>
      <w:rPr>
        <w:b/>
        <w:sz w:val="16"/>
        <w:szCs w:val="16"/>
      </w:rPr>
      <w:t>&amp;</w:t>
    </w:r>
    <w:r w:rsidRPr="005E73C0">
      <w:rPr>
        <w:b/>
        <w:sz w:val="16"/>
        <w:szCs w:val="16"/>
      </w:rPr>
      <w:t xml:space="preserve"> Συγγενών </w:t>
    </w:r>
    <w:r w:rsidR="0058490A">
      <w:rPr>
        <w:b/>
        <w:sz w:val="16"/>
        <w:szCs w:val="16"/>
      </w:rPr>
      <w:t>Λοιμώξεων</w:t>
    </w:r>
  </w:p>
  <w:p w14:paraId="335A1FAF" w14:textId="595B5A8D" w:rsidR="0092523B" w:rsidRPr="00835E71" w:rsidRDefault="0092523B" w:rsidP="00835E71">
    <w:pPr>
      <w:pStyle w:val="Footer"/>
      <w:spacing w:after="0"/>
      <w:ind w:right="357"/>
      <w:jc w:val="center"/>
      <w:rPr>
        <w:sz w:val="16"/>
        <w:szCs w:val="16"/>
        <w:lang w:val="en-US"/>
      </w:rPr>
    </w:pPr>
    <w:r w:rsidRPr="005E73C0">
      <w:rPr>
        <w:sz w:val="16"/>
        <w:szCs w:val="16"/>
      </w:rPr>
      <w:t xml:space="preserve">Τηλέφωνα επικοινωνίας: </w:t>
    </w:r>
    <w:r w:rsidRPr="005E73C0">
      <w:rPr>
        <w:b/>
        <w:sz w:val="16"/>
        <w:szCs w:val="16"/>
      </w:rPr>
      <w:t xml:space="preserve">210 </w:t>
    </w:r>
    <w:r w:rsidR="00BF56A1">
      <w:rPr>
        <w:b/>
        <w:sz w:val="16"/>
        <w:szCs w:val="16"/>
      </w:rPr>
      <w:t>5212</w:t>
    </w:r>
    <w:r w:rsidRPr="005E73C0">
      <w:rPr>
        <w:b/>
        <w:sz w:val="16"/>
        <w:szCs w:val="16"/>
      </w:rPr>
      <w:t xml:space="preserve"> </w:t>
    </w:r>
    <w:r w:rsidR="00BF56A1">
      <w:rPr>
        <w:b/>
        <w:sz w:val="16"/>
        <w:szCs w:val="16"/>
      </w:rPr>
      <w:t>388</w:t>
    </w:r>
    <w:r w:rsidRPr="005E73C0">
      <w:rPr>
        <w:sz w:val="16"/>
        <w:szCs w:val="16"/>
      </w:rPr>
      <w:t xml:space="preserve">, </w:t>
    </w:r>
    <w:r>
      <w:rPr>
        <w:b/>
        <w:sz w:val="16"/>
        <w:szCs w:val="16"/>
      </w:rPr>
      <w:t xml:space="preserve">210 </w:t>
    </w:r>
    <w:r w:rsidR="00BF56A1">
      <w:rPr>
        <w:b/>
        <w:sz w:val="16"/>
        <w:szCs w:val="16"/>
      </w:rPr>
      <w:t>5212</w:t>
    </w:r>
    <w:r>
      <w:rPr>
        <w:b/>
        <w:sz w:val="16"/>
        <w:szCs w:val="16"/>
      </w:rPr>
      <w:t xml:space="preserve"> </w:t>
    </w:r>
    <w:r w:rsidR="00BF56A1">
      <w:rPr>
        <w:b/>
        <w:sz w:val="16"/>
        <w:szCs w:val="16"/>
      </w:rPr>
      <w:t>372</w:t>
    </w:r>
  </w:p>
  <w:p w14:paraId="237E53DE" w14:textId="77777777" w:rsidR="0092523B" w:rsidRDefault="009252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8968B" w14:textId="77777777" w:rsidR="00164D2C" w:rsidRDefault="00164D2C" w:rsidP="00835E71">
      <w:pPr>
        <w:spacing w:after="0" w:line="240" w:lineRule="auto"/>
      </w:pPr>
      <w:r>
        <w:separator/>
      </w:r>
    </w:p>
  </w:footnote>
  <w:footnote w:type="continuationSeparator" w:id="0">
    <w:p w14:paraId="3B2E3592" w14:textId="77777777" w:rsidR="00164D2C" w:rsidRDefault="00164D2C" w:rsidP="00835E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918CB"/>
    <w:multiLevelType w:val="hybridMultilevel"/>
    <w:tmpl w:val="4F12B36E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C26AC"/>
    <w:multiLevelType w:val="hybridMultilevel"/>
    <w:tmpl w:val="C2CEF9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1B0888"/>
    <w:multiLevelType w:val="hybridMultilevel"/>
    <w:tmpl w:val="2ABA80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84D651A"/>
    <w:multiLevelType w:val="hybridMultilevel"/>
    <w:tmpl w:val="7D78070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892232C"/>
    <w:multiLevelType w:val="hybridMultilevel"/>
    <w:tmpl w:val="EAC885B2"/>
    <w:lvl w:ilvl="0" w:tplc="8A16D6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937C75"/>
    <w:multiLevelType w:val="hybridMultilevel"/>
    <w:tmpl w:val="A15A67F8"/>
    <w:lvl w:ilvl="0" w:tplc="1ECCD8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145EF0"/>
    <w:multiLevelType w:val="hybridMultilevel"/>
    <w:tmpl w:val="F9C6A310"/>
    <w:lvl w:ilvl="0" w:tplc="3362BDC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90F19"/>
    <w:multiLevelType w:val="hybridMultilevel"/>
    <w:tmpl w:val="D97891C2"/>
    <w:lvl w:ilvl="0" w:tplc="12FCBD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4AB3E39"/>
    <w:multiLevelType w:val="hybridMultilevel"/>
    <w:tmpl w:val="3ABA650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572132F"/>
    <w:multiLevelType w:val="hybridMultilevel"/>
    <w:tmpl w:val="26EC86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90507"/>
    <w:multiLevelType w:val="hybridMultilevel"/>
    <w:tmpl w:val="26BC439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F7F6CE6"/>
    <w:multiLevelType w:val="hybridMultilevel"/>
    <w:tmpl w:val="0CB60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8214095">
    <w:abstractNumId w:val="2"/>
  </w:num>
  <w:num w:numId="2" w16cid:durableId="1043404814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2479642">
    <w:abstractNumId w:val="7"/>
  </w:num>
  <w:num w:numId="4" w16cid:durableId="469246024">
    <w:abstractNumId w:val="11"/>
  </w:num>
  <w:num w:numId="5" w16cid:durableId="921067211">
    <w:abstractNumId w:val="9"/>
  </w:num>
  <w:num w:numId="6" w16cid:durableId="1334600210">
    <w:abstractNumId w:val="5"/>
  </w:num>
  <w:num w:numId="7" w16cid:durableId="1111439512">
    <w:abstractNumId w:val="8"/>
  </w:num>
  <w:num w:numId="8" w16cid:durableId="371926964">
    <w:abstractNumId w:val="4"/>
  </w:num>
  <w:num w:numId="9" w16cid:durableId="889271344">
    <w:abstractNumId w:val="3"/>
  </w:num>
  <w:num w:numId="10" w16cid:durableId="1991010994">
    <w:abstractNumId w:val="1"/>
  </w:num>
  <w:num w:numId="11" w16cid:durableId="1239513498">
    <w:abstractNumId w:val="10"/>
  </w:num>
  <w:num w:numId="12" w16cid:durableId="1782728357">
    <w:abstractNumId w:val="0"/>
  </w:num>
  <w:num w:numId="13" w16cid:durableId="21442309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4F0"/>
    <w:rsid w:val="00002ADC"/>
    <w:rsid w:val="00014B35"/>
    <w:rsid w:val="0001518E"/>
    <w:rsid w:val="00020983"/>
    <w:rsid w:val="00037A6C"/>
    <w:rsid w:val="00042DE2"/>
    <w:rsid w:val="00046054"/>
    <w:rsid w:val="000500B5"/>
    <w:rsid w:val="000569C3"/>
    <w:rsid w:val="00057BBB"/>
    <w:rsid w:val="00070E75"/>
    <w:rsid w:val="00072F84"/>
    <w:rsid w:val="000800F7"/>
    <w:rsid w:val="00086541"/>
    <w:rsid w:val="000A3558"/>
    <w:rsid w:val="000A4475"/>
    <w:rsid w:val="000A7648"/>
    <w:rsid w:val="000B4765"/>
    <w:rsid w:val="000B571A"/>
    <w:rsid w:val="000B7C74"/>
    <w:rsid w:val="000C1F53"/>
    <w:rsid w:val="000C5096"/>
    <w:rsid w:val="000D02B7"/>
    <w:rsid w:val="000D097D"/>
    <w:rsid w:val="000D17D8"/>
    <w:rsid w:val="000D219C"/>
    <w:rsid w:val="000D38C4"/>
    <w:rsid w:val="000D3E06"/>
    <w:rsid w:val="000F1067"/>
    <w:rsid w:val="00102A9F"/>
    <w:rsid w:val="0010632B"/>
    <w:rsid w:val="001136C8"/>
    <w:rsid w:val="00113825"/>
    <w:rsid w:val="00133448"/>
    <w:rsid w:val="00137C35"/>
    <w:rsid w:val="00142EAE"/>
    <w:rsid w:val="00145D9B"/>
    <w:rsid w:val="00150744"/>
    <w:rsid w:val="00152C7E"/>
    <w:rsid w:val="00164D2C"/>
    <w:rsid w:val="00170E37"/>
    <w:rsid w:val="00172CE5"/>
    <w:rsid w:val="00183280"/>
    <w:rsid w:val="00184B97"/>
    <w:rsid w:val="0018757E"/>
    <w:rsid w:val="001967AA"/>
    <w:rsid w:val="001A202F"/>
    <w:rsid w:val="001A6BEA"/>
    <w:rsid w:val="001B46A1"/>
    <w:rsid w:val="001B7E0C"/>
    <w:rsid w:val="001C2863"/>
    <w:rsid w:val="001C41D9"/>
    <w:rsid w:val="001D279A"/>
    <w:rsid w:val="001D4FCB"/>
    <w:rsid w:val="001F1608"/>
    <w:rsid w:val="001F47CA"/>
    <w:rsid w:val="001F6CAF"/>
    <w:rsid w:val="001F7103"/>
    <w:rsid w:val="001F7ECB"/>
    <w:rsid w:val="00204DB0"/>
    <w:rsid w:val="0021439A"/>
    <w:rsid w:val="0021663F"/>
    <w:rsid w:val="0022762C"/>
    <w:rsid w:val="002307DE"/>
    <w:rsid w:val="00232793"/>
    <w:rsid w:val="0023771A"/>
    <w:rsid w:val="002510F6"/>
    <w:rsid w:val="002516A8"/>
    <w:rsid w:val="00255C2A"/>
    <w:rsid w:val="0026310C"/>
    <w:rsid w:val="00265599"/>
    <w:rsid w:val="0027279F"/>
    <w:rsid w:val="00272A58"/>
    <w:rsid w:val="00272D0A"/>
    <w:rsid w:val="002907E2"/>
    <w:rsid w:val="0029131B"/>
    <w:rsid w:val="00292997"/>
    <w:rsid w:val="00293645"/>
    <w:rsid w:val="00294300"/>
    <w:rsid w:val="00296442"/>
    <w:rsid w:val="00296DC6"/>
    <w:rsid w:val="002A1DD1"/>
    <w:rsid w:val="002A4C5E"/>
    <w:rsid w:val="002C6C8B"/>
    <w:rsid w:val="002D6236"/>
    <w:rsid w:val="002D76A1"/>
    <w:rsid w:val="002E180F"/>
    <w:rsid w:val="002E2780"/>
    <w:rsid w:val="002E3AD2"/>
    <w:rsid w:val="002F4A98"/>
    <w:rsid w:val="00300E54"/>
    <w:rsid w:val="003018E7"/>
    <w:rsid w:val="0030674D"/>
    <w:rsid w:val="003070CC"/>
    <w:rsid w:val="003208F9"/>
    <w:rsid w:val="003414BE"/>
    <w:rsid w:val="0034262F"/>
    <w:rsid w:val="00350E95"/>
    <w:rsid w:val="00365119"/>
    <w:rsid w:val="00370A98"/>
    <w:rsid w:val="00373B5C"/>
    <w:rsid w:val="00374BB8"/>
    <w:rsid w:val="003770AB"/>
    <w:rsid w:val="00393A32"/>
    <w:rsid w:val="003B0CE4"/>
    <w:rsid w:val="003B41E5"/>
    <w:rsid w:val="003B5DFE"/>
    <w:rsid w:val="003C2D27"/>
    <w:rsid w:val="003D7511"/>
    <w:rsid w:val="003E3635"/>
    <w:rsid w:val="003E75D2"/>
    <w:rsid w:val="003F1AED"/>
    <w:rsid w:val="003F6122"/>
    <w:rsid w:val="00461D5E"/>
    <w:rsid w:val="00472ED8"/>
    <w:rsid w:val="0047328E"/>
    <w:rsid w:val="00480F42"/>
    <w:rsid w:val="004857E0"/>
    <w:rsid w:val="00490231"/>
    <w:rsid w:val="00492164"/>
    <w:rsid w:val="00496EE8"/>
    <w:rsid w:val="004A0F4D"/>
    <w:rsid w:val="004A2875"/>
    <w:rsid w:val="004A2B3A"/>
    <w:rsid w:val="004D4732"/>
    <w:rsid w:val="004E0AB4"/>
    <w:rsid w:val="00501D6F"/>
    <w:rsid w:val="00502492"/>
    <w:rsid w:val="005032CA"/>
    <w:rsid w:val="00504606"/>
    <w:rsid w:val="00510A6C"/>
    <w:rsid w:val="00523871"/>
    <w:rsid w:val="005329C5"/>
    <w:rsid w:val="00534113"/>
    <w:rsid w:val="00541707"/>
    <w:rsid w:val="005441AA"/>
    <w:rsid w:val="00547C72"/>
    <w:rsid w:val="005518FE"/>
    <w:rsid w:val="00561D1D"/>
    <w:rsid w:val="0057097A"/>
    <w:rsid w:val="00581E0B"/>
    <w:rsid w:val="0058490A"/>
    <w:rsid w:val="00593900"/>
    <w:rsid w:val="005B6295"/>
    <w:rsid w:val="005C787D"/>
    <w:rsid w:val="005D10F0"/>
    <w:rsid w:val="005D2623"/>
    <w:rsid w:val="005D6E0A"/>
    <w:rsid w:val="005D7A2D"/>
    <w:rsid w:val="005E4B7B"/>
    <w:rsid w:val="005E723C"/>
    <w:rsid w:val="00601A09"/>
    <w:rsid w:val="006034FF"/>
    <w:rsid w:val="00603BF2"/>
    <w:rsid w:val="00607D55"/>
    <w:rsid w:val="00614149"/>
    <w:rsid w:val="00616473"/>
    <w:rsid w:val="00617C7C"/>
    <w:rsid w:val="006204B8"/>
    <w:rsid w:val="00620C61"/>
    <w:rsid w:val="006224F0"/>
    <w:rsid w:val="00622F12"/>
    <w:rsid w:val="00642102"/>
    <w:rsid w:val="00643FB1"/>
    <w:rsid w:val="00651E2F"/>
    <w:rsid w:val="00654DE2"/>
    <w:rsid w:val="0066234A"/>
    <w:rsid w:val="0068317F"/>
    <w:rsid w:val="0068731B"/>
    <w:rsid w:val="0069088E"/>
    <w:rsid w:val="006917E2"/>
    <w:rsid w:val="006957C3"/>
    <w:rsid w:val="006A1779"/>
    <w:rsid w:val="006B1605"/>
    <w:rsid w:val="006B7E18"/>
    <w:rsid w:val="006C20F7"/>
    <w:rsid w:val="006C3CF6"/>
    <w:rsid w:val="006C4DBB"/>
    <w:rsid w:val="006D684E"/>
    <w:rsid w:val="006E0A6F"/>
    <w:rsid w:val="006E3798"/>
    <w:rsid w:val="006E617C"/>
    <w:rsid w:val="006F194E"/>
    <w:rsid w:val="006F6EEE"/>
    <w:rsid w:val="006F6FCE"/>
    <w:rsid w:val="007007FD"/>
    <w:rsid w:val="007029AB"/>
    <w:rsid w:val="00704169"/>
    <w:rsid w:val="00710196"/>
    <w:rsid w:val="00710D21"/>
    <w:rsid w:val="00712BC1"/>
    <w:rsid w:val="007133CB"/>
    <w:rsid w:val="007177AC"/>
    <w:rsid w:val="00721C08"/>
    <w:rsid w:val="00732DE8"/>
    <w:rsid w:val="0073778E"/>
    <w:rsid w:val="0073790C"/>
    <w:rsid w:val="00740596"/>
    <w:rsid w:val="0074440E"/>
    <w:rsid w:val="007528D8"/>
    <w:rsid w:val="00760E55"/>
    <w:rsid w:val="0076544E"/>
    <w:rsid w:val="00766977"/>
    <w:rsid w:val="00775071"/>
    <w:rsid w:val="0078269A"/>
    <w:rsid w:val="00792E94"/>
    <w:rsid w:val="007A076F"/>
    <w:rsid w:val="007A16F8"/>
    <w:rsid w:val="007A2B46"/>
    <w:rsid w:val="007A4B69"/>
    <w:rsid w:val="007A5073"/>
    <w:rsid w:val="007A6A34"/>
    <w:rsid w:val="007B1C2F"/>
    <w:rsid w:val="007B4D2D"/>
    <w:rsid w:val="007C484B"/>
    <w:rsid w:val="007C4E54"/>
    <w:rsid w:val="007D222B"/>
    <w:rsid w:val="007D6A86"/>
    <w:rsid w:val="007F406E"/>
    <w:rsid w:val="00806969"/>
    <w:rsid w:val="00820B2C"/>
    <w:rsid w:val="0082131D"/>
    <w:rsid w:val="0082199D"/>
    <w:rsid w:val="00835E71"/>
    <w:rsid w:val="00836BD7"/>
    <w:rsid w:val="008411F0"/>
    <w:rsid w:val="00846D47"/>
    <w:rsid w:val="00857455"/>
    <w:rsid w:val="00863D8E"/>
    <w:rsid w:val="00864C5C"/>
    <w:rsid w:val="00864FE9"/>
    <w:rsid w:val="008650B2"/>
    <w:rsid w:val="0086777B"/>
    <w:rsid w:val="008722F7"/>
    <w:rsid w:val="008746F7"/>
    <w:rsid w:val="00880521"/>
    <w:rsid w:val="00883EEB"/>
    <w:rsid w:val="00896839"/>
    <w:rsid w:val="008A1AC9"/>
    <w:rsid w:val="008B6B85"/>
    <w:rsid w:val="008C0572"/>
    <w:rsid w:val="008C7F53"/>
    <w:rsid w:val="008D05A1"/>
    <w:rsid w:val="008D08BE"/>
    <w:rsid w:val="008D1C80"/>
    <w:rsid w:val="008D42B8"/>
    <w:rsid w:val="008E146A"/>
    <w:rsid w:val="008E5293"/>
    <w:rsid w:val="008F28B2"/>
    <w:rsid w:val="008F585B"/>
    <w:rsid w:val="0091030C"/>
    <w:rsid w:val="00911A25"/>
    <w:rsid w:val="00920646"/>
    <w:rsid w:val="009236B0"/>
    <w:rsid w:val="00924711"/>
    <w:rsid w:val="0092523B"/>
    <w:rsid w:val="00941FDE"/>
    <w:rsid w:val="009456B8"/>
    <w:rsid w:val="00950685"/>
    <w:rsid w:val="009612D8"/>
    <w:rsid w:val="0096350B"/>
    <w:rsid w:val="00966540"/>
    <w:rsid w:val="00972D44"/>
    <w:rsid w:val="00974D73"/>
    <w:rsid w:val="00985978"/>
    <w:rsid w:val="009864A6"/>
    <w:rsid w:val="009A08C6"/>
    <w:rsid w:val="009A0ED0"/>
    <w:rsid w:val="009B00FD"/>
    <w:rsid w:val="009B0B14"/>
    <w:rsid w:val="009B13B6"/>
    <w:rsid w:val="009C58F8"/>
    <w:rsid w:val="009C7D2B"/>
    <w:rsid w:val="009D2B80"/>
    <w:rsid w:val="009E55D5"/>
    <w:rsid w:val="009F4235"/>
    <w:rsid w:val="00A0097C"/>
    <w:rsid w:val="00A031FD"/>
    <w:rsid w:val="00A055F8"/>
    <w:rsid w:val="00A067FC"/>
    <w:rsid w:val="00A07C1E"/>
    <w:rsid w:val="00A1218B"/>
    <w:rsid w:val="00A14500"/>
    <w:rsid w:val="00A24A99"/>
    <w:rsid w:val="00A4469C"/>
    <w:rsid w:val="00A50496"/>
    <w:rsid w:val="00A615F6"/>
    <w:rsid w:val="00A634D9"/>
    <w:rsid w:val="00A64D0C"/>
    <w:rsid w:val="00A6757C"/>
    <w:rsid w:val="00A71B36"/>
    <w:rsid w:val="00A734FC"/>
    <w:rsid w:val="00A769CE"/>
    <w:rsid w:val="00A82EB1"/>
    <w:rsid w:val="00A96E1B"/>
    <w:rsid w:val="00AA179E"/>
    <w:rsid w:val="00AA5132"/>
    <w:rsid w:val="00AB21BA"/>
    <w:rsid w:val="00AB5897"/>
    <w:rsid w:val="00AC284C"/>
    <w:rsid w:val="00AF6009"/>
    <w:rsid w:val="00AF6C6E"/>
    <w:rsid w:val="00AF79B0"/>
    <w:rsid w:val="00B148D4"/>
    <w:rsid w:val="00B17E7A"/>
    <w:rsid w:val="00B270DA"/>
    <w:rsid w:val="00B31ADE"/>
    <w:rsid w:val="00B44839"/>
    <w:rsid w:val="00B520D0"/>
    <w:rsid w:val="00B53585"/>
    <w:rsid w:val="00B60255"/>
    <w:rsid w:val="00B66FFB"/>
    <w:rsid w:val="00B71BB3"/>
    <w:rsid w:val="00B959D2"/>
    <w:rsid w:val="00BA6166"/>
    <w:rsid w:val="00BA61B4"/>
    <w:rsid w:val="00BB1A63"/>
    <w:rsid w:val="00BB3506"/>
    <w:rsid w:val="00BB37C5"/>
    <w:rsid w:val="00BC00C7"/>
    <w:rsid w:val="00BD78B2"/>
    <w:rsid w:val="00BE538A"/>
    <w:rsid w:val="00BF1524"/>
    <w:rsid w:val="00BF202B"/>
    <w:rsid w:val="00BF56A1"/>
    <w:rsid w:val="00C0470D"/>
    <w:rsid w:val="00C071A4"/>
    <w:rsid w:val="00C16ADB"/>
    <w:rsid w:val="00C17442"/>
    <w:rsid w:val="00C22E83"/>
    <w:rsid w:val="00C23F49"/>
    <w:rsid w:val="00C27773"/>
    <w:rsid w:val="00C52E14"/>
    <w:rsid w:val="00C57C39"/>
    <w:rsid w:val="00C640EA"/>
    <w:rsid w:val="00C67FD0"/>
    <w:rsid w:val="00C87063"/>
    <w:rsid w:val="00CA0976"/>
    <w:rsid w:val="00CA0B5A"/>
    <w:rsid w:val="00CA2DA5"/>
    <w:rsid w:val="00CA5120"/>
    <w:rsid w:val="00CA61FB"/>
    <w:rsid w:val="00CB2032"/>
    <w:rsid w:val="00CB3A4E"/>
    <w:rsid w:val="00CC0B93"/>
    <w:rsid w:val="00CC5FDA"/>
    <w:rsid w:val="00CC7F28"/>
    <w:rsid w:val="00CE0020"/>
    <w:rsid w:val="00CE10E2"/>
    <w:rsid w:val="00CF376E"/>
    <w:rsid w:val="00CF49C8"/>
    <w:rsid w:val="00CF4C8F"/>
    <w:rsid w:val="00CF55DA"/>
    <w:rsid w:val="00D019E8"/>
    <w:rsid w:val="00D0299B"/>
    <w:rsid w:val="00D05CB1"/>
    <w:rsid w:val="00D21435"/>
    <w:rsid w:val="00D24261"/>
    <w:rsid w:val="00D3684D"/>
    <w:rsid w:val="00D37DF7"/>
    <w:rsid w:val="00D409E3"/>
    <w:rsid w:val="00D44C45"/>
    <w:rsid w:val="00D47F73"/>
    <w:rsid w:val="00D51663"/>
    <w:rsid w:val="00D56EA2"/>
    <w:rsid w:val="00D57068"/>
    <w:rsid w:val="00D628CE"/>
    <w:rsid w:val="00D63381"/>
    <w:rsid w:val="00D63996"/>
    <w:rsid w:val="00D718D0"/>
    <w:rsid w:val="00D73776"/>
    <w:rsid w:val="00D740E2"/>
    <w:rsid w:val="00D83268"/>
    <w:rsid w:val="00D83A2A"/>
    <w:rsid w:val="00D92654"/>
    <w:rsid w:val="00D94306"/>
    <w:rsid w:val="00D94A44"/>
    <w:rsid w:val="00DB1F6C"/>
    <w:rsid w:val="00DB69FF"/>
    <w:rsid w:val="00DC7DFB"/>
    <w:rsid w:val="00DD0EEF"/>
    <w:rsid w:val="00DD4345"/>
    <w:rsid w:val="00DE143F"/>
    <w:rsid w:val="00DE5521"/>
    <w:rsid w:val="00DE609D"/>
    <w:rsid w:val="00DF0208"/>
    <w:rsid w:val="00DF2B21"/>
    <w:rsid w:val="00DF6C5E"/>
    <w:rsid w:val="00E0192B"/>
    <w:rsid w:val="00E0229A"/>
    <w:rsid w:val="00E026D6"/>
    <w:rsid w:val="00E120F5"/>
    <w:rsid w:val="00E1757B"/>
    <w:rsid w:val="00E2342A"/>
    <w:rsid w:val="00E348B2"/>
    <w:rsid w:val="00E350F7"/>
    <w:rsid w:val="00E3600D"/>
    <w:rsid w:val="00E43E1B"/>
    <w:rsid w:val="00E47697"/>
    <w:rsid w:val="00E51FC8"/>
    <w:rsid w:val="00E61C3A"/>
    <w:rsid w:val="00E67574"/>
    <w:rsid w:val="00E7521D"/>
    <w:rsid w:val="00E76BFE"/>
    <w:rsid w:val="00E770FD"/>
    <w:rsid w:val="00E947F0"/>
    <w:rsid w:val="00EC228F"/>
    <w:rsid w:val="00EE316B"/>
    <w:rsid w:val="00EE49D8"/>
    <w:rsid w:val="00EF0225"/>
    <w:rsid w:val="00F07D51"/>
    <w:rsid w:val="00F152FB"/>
    <w:rsid w:val="00F206CF"/>
    <w:rsid w:val="00F213CA"/>
    <w:rsid w:val="00F21EF0"/>
    <w:rsid w:val="00F32A81"/>
    <w:rsid w:val="00F4013C"/>
    <w:rsid w:val="00F72C8C"/>
    <w:rsid w:val="00F75A2D"/>
    <w:rsid w:val="00F81ACB"/>
    <w:rsid w:val="00FB5396"/>
    <w:rsid w:val="00FC1035"/>
    <w:rsid w:val="00FC5C3F"/>
    <w:rsid w:val="00FD762F"/>
    <w:rsid w:val="00FF2491"/>
    <w:rsid w:val="00FF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20E6B2"/>
  <w15:docId w15:val="{F9CE7E73-38E6-45BE-B215-A4ABEEDCA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82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634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07E2"/>
    <w:pPr>
      <w:spacing w:before="240" w:after="60" w:line="240" w:lineRule="auto"/>
      <w:outlineLvl w:val="4"/>
    </w:pPr>
    <w:rPr>
      <w:rFonts w:ascii="Times New Roman" w:hAnsi="Times New Roman" w:cs="Times New Roman"/>
      <w:b/>
      <w:bCs/>
      <w:i/>
      <w:iCs/>
      <w:sz w:val="26"/>
      <w:szCs w:val="26"/>
      <w:lang w:eastAsia="el-G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locked/>
    <w:rsid w:val="002907E2"/>
    <w:rPr>
      <w:rFonts w:ascii="Times New Roman" w:hAnsi="Times New Roman" w:cs="Times New Roman"/>
      <w:b/>
      <w:bCs/>
      <w:i/>
      <w:iCs/>
      <w:sz w:val="26"/>
      <w:szCs w:val="26"/>
      <w:lang w:eastAsia="el-GR"/>
    </w:rPr>
  </w:style>
  <w:style w:type="paragraph" w:styleId="BalloonText">
    <w:name w:val="Balloon Text"/>
    <w:basedOn w:val="Normal"/>
    <w:link w:val="BalloonTextChar"/>
    <w:uiPriority w:val="99"/>
    <w:semiHidden/>
    <w:rsid w:val="00D019E8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D019E8"/>
    <w:rPr>
      <w:rFonts w:ascii="Tahoma" w:hAnsi="Tahoma" w:cs="Tahoma"/>
      <w:sz w:val="16"/>
      <w:szCs w:val="16"/>
    </w:rPr>
  </w:style>
  <w:style w:type="paragraph" w:customStyle="1" w:styleId="1">
    <w:name w:val="Παράγραφος λίστας1"/>
    <w:basedOn w:val="Normal"/>
    <w:uiPriority w:val="99"/>
    <w:qFormat/>
    <w:rsid w:val="002A4C5E"/>
    <w:pPr>
      <w:ind w:left="720"/>
    </w:pPr>
  </w:style>
  <w:style w:type="character" w:customStyle="1" w:styleId="A95">
    <w:name w:val="A9+5"/>
    <w:uiPriority w:val="99"/>
    <w:rsid w:val="003F6122"/>
    <w:rPr>
      <w:color w:val="000000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B4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4839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44839"/>
    <w:rPr>
      <w:rFonts w:cs="Calibri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483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44839"/>
    <w:rPr>
      <w:rFonts w:cs="Calibri"/>
      <w:b/>
      <w:bCs/>
      <w:sz w:val="20"/>
      <w:szCs w:val="20"/>
      <w:lang w:eastAsia="en-US"/>
    </w:rPr>
  </w:style>
  <w:style w:type="paragraph" w:customStyle="1" w:styleId="10">
    <w:name w:val="Αναθεώρηση1"/>
    <w:hidden/>
    <w:uiPriority w:val="99"/>
    <w:semiHidden/>
    <w:rsid w:val="00DB69FF"/>
    <w:rPr>
      <w:rFonts w:cs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D740E2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740E2"/>
    <w:rPr>
      <w:color w:val="800080"/>
      <w:u w:val="single"/>
    </w:rPr>
  </w:style>
  <w:style w:type="paragraph" w:customStyle="1" w:styleId="Pa10">
    <w:name w:val="Pa10"/>
    <w:basedOn w:val="Normal"/>
    <w:next w:val="Normal"/>
    <w:uiPriority w:val="99"/>
    <w:rsid w:val="00D83A2A"/>
    <w:pPr>
      <w:autoSpaceDE w:val="0"/>
      <w:autoSpaceDN w:val="0"/>
      <w:adjustRightInd w:val="0"/>
      <w:spacing w:after="0" w:line="201" w:lineRule="atLeast"/>
    </w:pPr>
    <w:rPr>
      <w:rFonts w:ascii="Verdana" w:hAnsi="Verdana" w:cs="Times New Roman"/>
      <w:sz w:val="24"/>
      <w:szCs w:val="24"/>
      <w:lang w:eastAsia="el-GR"/>
    </w:rPr>
  </w:style>
  <w:style w:type="paragraph" w:styleId="Header">
    <w:name w:val="header"/>
    <w:basedOn w:val="Normal"/>
    <w:link w:val="HeaderChar"/>
    <w:uiPriority w:val="99"/>
    <w:unhideWhenUsed/>
    <w:rsid w:val="00835E7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E71"/>
    <w:rPr>
      <w:rFonts w:cs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35E7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E71"/>
    <w:rPr>
      <w:rFonts w:cs="Calibri"/>
      <w:sz w:val="22"/>
      <w:szCs w:val="2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A634D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0674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7A6C"/>
    <w:pPr>
      <w:ind w:left="720"/>
      <w:contextualSpacing/>
    </w:pPr>
  </w:style>
  <w:style w:type="character" w:styleId="PageNumber">
    <w:name w:val="page number"/>
    <w:basedOn w:val="DefaultParagraphFont"/>
    <w:rsid w:val="001B46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524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ecdc.europa.eu/sites/default/files/documents/invasive-meningococcal-disease-annual-epidemiological-report-2023_0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ody.gov.gr/el/nosimata/metadotika/nosimata-kai-themata-ygeias/meningitida-bakteriake.html?me=m3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ww.ecdc.europa.eu/en/meningococcal-disease/factshee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6C9EE-48CA-4FCD-B031-AD5B73806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6</Pages>
  <Words>1977</Words>
  <Characters>11155</Characters>
  <Application>Microsoft Office Word</Application>
  <DocSecurity>0</DocSecurity>
  <Lines>192</Lines>
  <Paragraphs>70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>KEELPNO</Company>
  <LinksUpToDate>false</LinksUpToDate>
  <CharactersWithSpaces>13062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Θεανώ Γεωργακοπούλου</dc:creator>
  <cp:lastModifiedBy>Theano</cp:lastModifiedBy>
  <cp:revision>13</cp:revision>
  <cp:lastPrinted>2026-05-11T21:03:00Z</cp:lastPrinted>
  <dcterms:created xsi:type="dcterms:W3CDTF">2026-05-10T19:21:00Z</dcterms:created>
  <dcterms:modified xsi:type="dcterms:W3CDTF">2026-05-11T21:05:00Z</dcterms:modified>
</cp:coreProperties>
</file>